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EABC5" w14:textId="77777777" w:rsidR="009C1E03" w:rsidRPr="005E3ECB" w:rsidRDefault="009C1E03" w:rsidP="009C1E03">
      <w:pPr>
        <w:spacing w:after="0"/>
        <w:jc w:val="center"/>
        <w:rPr>
          <w:rFonts w:ascii="Arial" w:hAnsi="Arial" w:cs="Arial"/>
          <w:b/>
          <w:lang w:val="en-GB"/>
        </w:rPr>
      </w:pPr>
      <w:r w:rsidRPr="005E3ECB">
        <w:rPr>
          <w:rFonts w:ascii="Arial" w:hAnsi="Arial" w:cs="Arial"/>
          <w:b/>
          <w:lang w:val="en-GB"/>
        </w:rPr>
        <w:t>SVETLANA S. POPOVA</w:t>
      </w:r>
    </w:p>
    <w:p w14:paraId="0AC71BD8" w14:textId="1A2B0BDF" w:rsidR="00301F65" w:rsidRPr="0038166B" w:rsidRDefault="00301F65" w:rsidP="006C7164">
      <w:pPr>
        <w:rPr>
          <w:rFonts w:ascii="Arial" w:hAnsi="Arial" w:cs="Arial"/>
          <w:sz w:val="21"/>
          <w:szCs w:val="21"/>
          <w:lang w:val="en-US"/>
        </w:rPr>
      </w:pPr>
    </w:p>
    <w:tbl>
      <w:tblPr>
        <w:tblStyle w:val="a4"/>
        <w:tblW w:w="992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6662"/>
        <w:gridCol w:w="1559"/>
      </w:tblGrid>
      <w:tr w:rsidR="004F4A2E" w:rsidRPr="0025532C" w14:paraId="287DC962" w14:textId="77777777" w:rsidTr="008B02AC">
        <w:tc>
          <w:tcPr>
            <w:tcW w:w="1702" w:type="dxa"/>
          </w:tcPr>
          <w:p w14:paraId="5326D778" w14:textId="77777777" w:rsidR="004F4A2E" w:rsidRPr="005E3ECB" w:rsidRDefault="004F4A2E" w:rsidP="004F4A2E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5E3ECB">
              <w:rPr>
                <w:rFonts w:ascii="Arial" w:hAnsi="Arial" w:cs="Arial"/>
                <w:b/>
                <w:sz w:val="21"/>
                <w:szCs w:val="21"/>
                <w:lang w:val="en-GB"/>
              </w:rPr>
              <w:t>EXPERIENCE</w:t>
            </w:r>
          </w:p>
        </w:tc>
        <w:tc>
          <w:tcPr>
            <w:tcW w:w="6662" w:type="dxa"/>
          </w:tcPr>
          <w:p w14:paraId="5A2EFF54" w14:textId="6B0A0B5D" w:rsidR="0025532C" w:rsidRPr="00211FFC" w:rsidRDefault="0025532C" w:rsidP="0025532C">
            <w:pPr>
              <w:spacing w:before="120" w:after="120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25532C">
              <w:rPr>
                <w:rFonts w:ascii="Arial" w:hAnsi="Arial" w:cs="Arial"/>
                <w:b/>
                <w:sz w:val="21"/>
                <w:szCs w:val="21"/>
                <w:lang w:val="en-GB"/>
              </w:rPr>
              <w:t>Uralchem JSC</w:t>
            </w:r>
            <w:r w:rsidRPr="005E3ECB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, </w:t>
            </w:r>
            <w:r w:rsidRPr="005E3ECB">
              <w:rPr>
                <w:rFonts w:ascii="Arial" w:hAnsi="Arial" w:cs="Arial"/>
                <w:sz w:val="21"/>
                <w:szCs w:val="21"/>
                <w:lang w:val="en-GB"/>
              </w:rPr>
              <w:t>Moscow</w:t>
            </w:r>
            <w:r w:rsidR="00211FFC">
              <w:rPr>
                <w:rFonts w:ascii="Arial" w:hAnsi="Arial" w:cs="Arial"/>
                <w:sz w:val="21"/>
                <w:szCs w:val="21"/>
                <w:lang w:val="en-GB"/>
              </w:rPr>
              <w:t xml:space="preserve">, </w:t>
            </w:r>
            <w:hyperlink r:id="rId7" w:history="1">
              <w:r w:rsidR="00211FFC" w:rsidRPr="00C65E25">
                <w:rPr>
                  <w:rStyle w:val="a3"/>
                  <w:rFonts w:ascii="Arial" w:hAnsi="Arial" w:cs="Arial"/>
                  <w:sz w:val="21"/>
                  <w:szCs w:val="21"/>
                  <w:lang w:val="en-GB"/>
                </w:rPr>
                <w:t>https://www.uralchem.com/</w:t>
              </w:r>
            </w:hyperlink>
            <w:r w:rsidR="00211FFC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</w:p>
          <w:p w14:paraId="6696361A" w14:textId="4F54126C" w:rsidR="004F4A2E" w:rsidRPr="0025532C" w:rsidRDefault="0025532C" w:rsidP="0025532C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val="en-GB"/>
              </w:rPr>
              <w:t>Head of International Law Practice</w:t>
            </w:r>
          </w:p>
        </w:tc>
        <w:tc>
          <w:tcPr>
            <w:tcW w:w="1559" w:type="dxa"/>
          </w:tcPr>
          <w:p w14:paraId="2BA65E56" w14:textId="6216B256" w:rsidR="004F4A2E" w:rsidRPr="005E3ECB" w:rsidRDefault="0025532C" w:rsidP="004F4A2E">
            <w:pPr>
              <w:spacing w:before="120" w:after="120"/>
              <w:ind w:left="-108"/>
              <w:jc w:val="right"/>
              <w:textAlignment w:val="top"/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  <w:t>2019 - present</w:t>
            </w:r>
          </w:p>
        </w:tc>
      </w:tr>
      <w:tr w:rsidR="0038166B" w:rsidRPr="009743AE" w14:paraId="069158BC" w14:textId="77777777" w:rsidTr="008B02AC">
        <w:tc>
          <w:tcPr>
            <w:tcW w:w="1702" w:type="dxa"/>
          </w:tcPr>
          <w:p w14:paraId="1490AD0D" w14:textId="77777777" w:rsidR="0038166B" w:rsidRPr="005E3ECB" w:rsidRDefault="0038166B" w:rsidP="0038166B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</w:p>
        </w:tc>
        <w:tc>
          <w:tcPr>
            <w:tcW w:w="8221" w:type="dxa"/>
            <w:gridSpan w:val="2"/>
          </w:tcPr>
          <w:p w14:paraId="72E22053" w14:textId="172C435D" w:rsidR="007B2DAF" w:rsidRPr="007B2DAF" w:rsidRDefault="007B2DAF" w:rsidP="007B2DAF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7B2DAF">
              <w:rPr>
                <w:rFonts w:ascii="Arial" w:hAnsi="Arial" w:cs="Arial"/>
                <w:sz w:val="21"/>
                <w:szCs w:val="21"/>
                <w:lang w:val="en-GB"/>
              </w:rPr>
              <w:t xml:space="preserve">Leading work on protecting interests of the group </w:t>
            </w:r>
            <w:r w:rsidR="008F195E">
              <w:rPr>
                <w:rFonts w:ascii="Arial" w:hAnsi="Arial" w:cs="Arial"/>
                <w:sz w:val="21"/>
                <w:szCs w:val="21"/>
                <w:lang w:val="en-GB"/>
              </w:rPr>
              <w:t xml:space="preserve">of companies </w:t>
            </w:r>
            <w:r w:rsidRPr="007B2DAF">
              <w:rPr>
                <w:rFonts w:ascii="Arial" w:hAnsi="Arial" w:cs="Arial"/>
                <w:sz w:val="21"/>
                <w:szCs w:val="21"/>
                <w:lang w:val="en-GB"/>
              </w:rPr>
              <w:t>abroad</w:t>
            </w:r>
            <w:r w:rsidR="008F195E">
              <w:rPr>
                <w:rFonts w:ascii="Arial" w:hAnsi="Arial" w:cs="Arial"/>
                <w:sz w:val="21"/>
                <w:szCs w:val="21"/>
                <w:lang w:val="en-GB"/>
              </w:rPr>
              <w:t xml:space="preserve">, both in </w:t>
            </w:r>
            <w:r w:rsidRPr="007B2DAF">
              <w:rPr>
                <w:rFonts w:ascii="Arial" w:hAnsi="Arial" w:cs="Arial"/>
                <w:sz w:val="21"/>
                <w:szCs w:val="21"/>
                <w:lang w:val="en-GB"/>
              </w:rPr>
              <w:t xml:space="preserve">significant international projects </w:t>
            </w:r>
            <w:r w:rsidR="008F195E">
              <w:rPr>
                <w:rFonts w:ascii="Arial" w:hAnsi="Arial" w:cs="Arial"/>
                <w:sz w:val="21"/>
                <w:szCs w:val="21"/>
                <w:lang w:val="en-GB"/>
              </w:rPr>
              <w:t>and</w:t>
            </w:r>
            <w:r w:rsidRPr="007B2DAF">
              <w:rPr>
                <w:rFonts w:ascii="Arial" w:hAnsi="Arial" w:cs="Arial"/>
                <w:sz w:val="21"/>
                <w:szCs w:val="21"/>
                <w:lang w:val="en-GB"/>
              </w:rPr>
              <w:t xml:space="preserve"> international disputes</w:t>
            </w:r>
            <w:r w:rsidRPr="00ED7044">
              <w:rPr>
                <w:rFonts w:ascii="Arial" w:hAnsi="Arial" w:cs="Arial"/>
                <w:sz w:val="21"/>
                <w:szCs w:val="21"/>
                <w:lang w:val="en-GB"/>
              </w:rPr>
              <w:t>:</w:t>
            </w:r>
          </w:p>
          <w:p w14:paraId="6B067714" w14:textId="7B62E7DE" w:rsidR="00ED7044" w:rsidRDefault="00BC1CD0" w:rsidP="00ED7044">
            <w:pPr>
              <w:pStyle w:val="a5"/>
              <w:numPr>
                <w:ilvl w:val="0"/>
                <w:numId w:val="4"/>
              </w:numPr>
              <w:tabs>
                <w:tab w:val="left" w:pos="1970"/>
                <w:tab w:val="center" w:pos="4273"/>
                <w:tab w:val="right" w:pos="4836"/>
              </w:tabs>
              <w:spacing w:before="120" w:after="120"/>
              <w:ind w:left="459" w:hanging="357"/>
              <w:contextualSpacing w:val="0"/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With regard to</w:t>
            </w:r>
            <w:r w:rsidR="00ED7044">
              <w:rPr>
                <w:rFonts w:ascii="Arial" w:hAnsi="Arial" w:cs="Arial"/>
                <w:sz w:val="21"/>
                <w:szCs w:val="21"/>
                <w:lang w:val="en-GB"/>
              </w:rPr>
              <w:t xml:space="preserve"> dispute </w:t>
            </w:r>
            <w:r w:rsidR="00ED7044" w:rsidRPr="00866AD9">
              <w:rPr>
                <w:rFonts w:ascii="Arial" w:hAnsi="Arial" w:cs="Arial"/>
                <w:sz w:val="21"/>
                <w:szCs w:val="21"/>
                <w:lang w:val="en-GB"/>
              </w:rPr>
              <w:t>resolution, scope of work is similar t</w:t>
            </w:r>
            <w:r w:rsidR="006C7164">
              <w:rPr>
                <w:rFonts w:ascii="Arial" w:hAnsi="Arial" w:cs="Arial"/>
                <w:sz w:val="21"/>
                <w:szCs w:val="21"/>
                <w:lang w:val="en-GB"/>
              </w:rPr>
              <w:t xml:space="preserve">o previous position at Rosneft, </w:t>
            </w:r>
            <w:r w:rsidR="00ED7044" w:rsidRPr="00866AD9">
              <w:rPr>
                <w:rFonts w:ascii="Arial" w:hAnsi="Arial" w:cs="Arial"/>
                <w:sz w:val="21"/>
                <w:szCs w:val="21"/>
                <w:lang w:val="en-GB"/>
              </w:rPr>
              <w:t xml:space="preserve">including </w:t>
            </w:r>
            <w:r w:rsidR="006C7164">
              <w:rPr>
                <w:rFonts w:ascii="Arial" w:hAnsi="Arial" w:cs="Arial"/>
                <w:sz w:val="21"/>
                <w:szCs w:val="21"/>
                <w:lang w:val="en-GB"/>
              </w:rPr>
              <w:t xml:space="preserve">representation </w:t>
            </w:r>
            <w:r w:rsidR="0038166B" w:rsidRPr="00866AD9">
              <w:rPr>
                <w:rFonts w:ascii="Arial" w:hAnsi="Arial" w:cs="Arial"/>
                <w:sz w:val="21"/>
                <w:szCs w:val="21"/>
                <w:lang w:val="en-GB"/>
              </w:rPr>
              <w:t xml:space="preserve">in </w:t>
            </w:r>
            <w:r w:rsidR="00ED7044" w:rsidRPr="00866AD9">
              <w:rPr>
                <w:rFonts w:ascii="Arial" w:hAnsi="Arial" w:cs="Arial"/>
                <w:sz w:val="21"/>
                <w:szCs w:val="21"/>
                <w:lang w:val="en-GB"/>
              </w:rPr>
              <w:t>international arbitrations</w:t>
            </w:r>
            <w:r w:rsidR="00A66A9D" w:rsidRPr="00866AD9">
              <w:rPr>
                <w:rFonts w:ascii="Arial" w:hAnsi="Arial" w:cs="Arial"/>
                <w:sz w:val="21"/>
                <w:szCs w:val="21"/>
                <w:lang w:val="en-GB"/>
              </w:rPr>
              <w:t>,</w:t>
            </w:r>
            <w:r w:rsidR="00ED7044" w:rsidRPr="00866AD9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r w:rsidR="006C7164" w:rsidRPr="00866AD9">
              <w:rPr>
                <w:rFonts w:ascii="Arial" w:hAnsi="Arial" w:cs="Arial"/>
                <w:sz w:val="21"/>
                <w:szCs w:val="21"/>
                <w:lang w:val="en-GB"/>
              </w:rPr>
              <w:t>foreign</w:t>
            </w:r>
            <w:r w:rsidR="003E7B16" w:rsidRPr="00866AD9">
              <w:rPr>
                <w:rFonts w:ascii="Arial" w:hAnsi="Arial" w:cs="Arial"/>
                <w:sz w:val="21"/>
                <w:szCs w:val="21"/>
                <w:lang w:val="en-GB"/>
              </w:rPr>
              <w:t xml:space="preserve"> courts</w:t>
            </w:r>
            <w:r w:rsidR="006C7164">
              <w:rPr>
                <w:rFonts w:ascii="Arial" w:hAnsi="Arial" w:cs="Arial"/>
                <w:sz w:val="21"/>
                <w:szCs w:val="21"/>
                <w:lang w:val="en-GB"/>
              </w:rPr>
              <w:t>,</w:t>
            </w:r>
            <w:r w:rsidR="00ED7044" w:rsidRPr="00866AD9">
              <w:rPr>
                <w:rFonts w:ascii="Arial" w:hAnsi="Arial" w:cs="Arial"/>
                <w:sz w:val="21"/>
                <w:szCs w:val="21"/>
                <w:lang w:val="en-GB"/>
              </w:rPr>
              <w:t xml:space="preserve"> and </w:t>
            </w:r>
            <w:r w:rsidR="006C7164">
              <w:rPr>
                <w:rFonts w:ascii="Arial" w:hAnsi="Arial" w:cs="Arial"/>
                <w:sz w:val="21"/>
                <w:szCs w:val="21"/>
                <w:lang w:val="en-GB"/>
              </w:rPr>
              <w:t>before foreign regulatory authorities</w:t>
            </w:r>
            <w:r w:rsidR="00866AD9" w:rsidRPr="00866AD9">
              <w:rPr>
                <w:rFonts w:ascii="Arial" w:hAnsi="Arial" w:cs="Arial"/>
                <w:sz w:val="21"/>
                <w:szCs w:val="21"/>
                <w:lang w:val="en-GB"/>
              </w:rPr>
              <w:t>,</w:t>
            </w:r>
            <w:r w:rsidR="00ED7044" w:rsidRPr="00866AD9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r w:rsidR="00866AD9" w:rsidRPr="00866AD9">
              <w:rPr>
                <w:rFonts w:ascii="Arial" w:hAnsi="Arial" w:cs="Arial"/>
                <w:sz w:val="21"/>
                <w:szCs w:val="21"/>
                <w:lang w:val="en-GB"/>
              </w:rPr>
              <w:t xml:space="preserve">development of the overall strategy and </w:t>
            </w:r>
            <w:r w:rsidR="00866AD9">
              <w:rPr>
                <w:rFonts w:ascii="Arial" w:hAnsi="Arial" w:cs="Arial"/>
                <w:sz w:val="21"/>
                <w:szCs w:val="21"/>
                <w:lang w:val="en-GB"/>
              </w:rPr>
              <w:t xml:space="preserve">coordination thereof with top management. </w:t>
            </w:r>
          </w:p>
          <w:p w14:paraId="098441CB" w14:textId="50B03BD9" w:rsidR="002553D4" w:rsidRDefault="00BC1CD0" w:rsidP="00ED7044">
            <w:pPr>
              <w:pStyle w:val="a5"/>
              <w:numPr>
                <w:ilvl w:val="0"/>
                <w:numId w:val="4"/>
              </w:numPr>
              <w:tabs>
                <w:tab w:val="left" w:pos="1970"/>
                <w:tab w:val="center" w:pos="4273"/>
                <w:tab w:val="right" w:pos="4836"/>
              </w:tabs>
              <w:spacing w:before="120" w:after="120"/>
              <w:ind w:left="459" w:hanging="357"/>
              <w:contextualSpacing w:val="0"/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Providing legal support to business units in </w:t>
            </w:r>
            <w:r w:rsidRPr="00ED7044">
              <w:rPr>
                <w:rFonts w:ascii="Arial" w:hAnsi="Arial" w:cs="Arial"/>
                <w:sz w:val="21"/>
                <w:szCs w:val="21"/>
                <w:lang w:val="en-GB"/>
              </w:rPr>
              <w:t>significant international projects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>, including development of new markets, JV pro</w:t>
            </w:r>
            <w:r w:rsidR="002553D4">
              <w:rPr>
                <w:rFonts w:ascii="Arial" w:hAnsi="Arial" w:cs="Arial"/>
                <w:sz w:val="21"/>
                <w:szCs w:val="21"/>
                <w:lang w:val="en-GB"/>
              </w:rPr>
              <w:t xml:space="preserve">jects, protection of IP rights, advising on </w:t>
            </w:r>
            <w:r w:rsidR="002553D4" w:rsidRPr="005E3ECB">
              <w:rPr>
                <w:rFonts w:ascii="Arial" w:hAnsi="Arial" w:cs="Arial"/>
                <w:sz w:val="21"/>
                <w:szCs w:val="21"/>
                <w:lang w:val="en-GB"/>
              </w:rPr>
              <w:t xml:space="preserve">restrictions imposed </w:t>
            </w:r>
            <w:r w:rsidR="007B2DAF">
              <w:rPr>
                <w:rFonts w:ascii="Arial" w:hAnsi="Arial" w:cs="Arial"/>
                <w:sz w:val="21"/>
                <w:szCs w:val="21"/>
                <w:lang w:val="en-GB"/>
              </w:rPr>
              <w:t xml:space="preserve">by </w:t>
            </w:r>
            <w:r w:rsidR="002553D4" w:rsidRPr="005E3ECB">
              <w:rPr>
                <w:rFonts w:ascii="Arial" w:hAnsi="Arial" w:cs="Arial"/>
                <w:sz w:val="21"/>
                <w:szCs w:val="21"/>
                <w:lang w:val="en-GB"/>
              </w:rPr>
              <w:t>sanctions</w:t>
            </w:r>
            <w:r w:rsidR="002553D4">
              <w:rPr>
                <w:rFonts w:ascii="Arial" w:hAnsi="Arial" w:cs="Arial"/>
                <w:sz w:val="21"/>
                <w:szCs w:val="21"/>
                <w:lang w:val="en-GB"/>
              </w:rPr>
              <w:t xml:space="preserve">. </w:t>
            </w:r>
          </w:p>
          <w:p w14:paraId="740D7A0B" w14:textId="3D2AA316" w:rsidR="00ED7044" w:rsidRPr="00A35CA6" w:rsidRDefault="00BC1CD0" w:rsidP="00A35CA6">
            <w:pPr>
              <w:pStyle w:val="a5"/>
              <w:numPr>
                <w:ilvl w:val="0"/>
                <w:numId w:val="4"/>
              </w:numPr>
              <w:tabs>
                <w:tab w:val="left" w:pos="1970"/>
                <w:tab w:val="center" w:pos="4273"/>
                <w:tab w:val="right" w:pos="4836"/>
              </w:tabs>
              <w:spacing w:before="120" w:after="120"/>
              <w:ind w:left="459" w:hanging="357"/>
              <w:contextualSpacing w:val="0"/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Overall coordination </w:t>
            </w:r>
            <w:r w:rsidR="00A66A9D">
              <w:rPr>
                <w:rFonts w:ascii="Arial" w:hAnsi="Arial" w:cs="Arial"/>
                <w:sz w:val="21"/>
                <w:szCs w:val="21"/>
                <w:lang w:val="en-GB"/>
              </w:rPr>
              <w:t xml:space="preserve">of </w:t>
            </w:r>
            <w:r w:rsidR="00A35CA6">
              <w:rPr>
                <w:rFonts w:ascii="Arial" w:hAnsi="Arial" w:cs="Arial"/>
                <w:sz w:val="21"/>
                <w:szCs w:val="21"/>
                <w:lang w:val="en-GB"/>
              </w:rPr>
              <w:t xml:space="preserve">work of 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the </w:t>
            </w:r>
            <w:r w:rsidRPr="00A66A9D">
              <w:rPr>
                <w:rFonts w:ascii="Arial" w:hAnsi="Arial" w:cs="Arial"/>
                <w:sz w:val="21"/>
                <w:szCs w:val="21"/>
                <w:lang w:val="en-GB"/>
              </w:rPr>
              <w:t>International Law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r w:rsidR="008F195E">
              <w:rPr>
                <w:rFonts w:ascii="Arial" w:hAnsi="Arial" w:cs="Arial"/>
                <w:sz w:val="21"/>
                <w:szCs w:val="21"/>
                <w:lang w:val="en-GB"/>
              </w:rPr>
              <w:t>Practice</w:t>
            </w:r>
            <w:r w:rsidR="00A35CA6">
              <w:rPr>
                <w:rFonts w:ascii="Arial" w:hAnsi="Arial" w:cs="Arial"/>
                <w:sz w:val="21"/>
                <w:szCs w:val="21"/>
                <w:lang w:val="en-GB"/>
              </w:rPr>
              <w:t xml:space="preserve"> and </w:t>
            </w:r>
            <w:r w:rsidR="00A35CA6" w:rsidRPr="00A35CA6">
              <w:rPr>
                <w:rFonts w:ascii="Arial" w:hAnsi="Arial" w:cs="Arial"/>
                <w:sz w:val="21"/>
                <w:szCs w:val="21"/>
                <w:lang w:val="en-GB"/>
              </w:rPr>
              <w:t>foreign legal advisors</w:t>
            </w:r>
            <w:r w:rsidR="00A35CA6">
              <w:rPr>
                <w:rFonts w:ascii="Arial" w:hAnsi="Arial" w:cs="Arial"/>
                <w:sz w:val="21"/>
                <w:szCs w:val="21"/>
                <w:lang w:val="en-GB"/>
              </w:rPr>
              <w:t xml:space="preserve">, </w:t>
            </w:r>
            <w:r w:rsidR="00866AD9">
              <w:rPr>
                <w:rFonts w:ascii="Arial" w:hAnsi="Arial" w:cs="Arial"/>
                <w:sz w:val="21"/>
                <w:szCs w:val="21"/>
                <w:lang w:val="en-GB"/>
              </w:rPr>
              <w:t>reporting to</w:t>
            </w:r>
            <w:r w:rsidR="00A66A9D">
              <w:rPr>
                <w:rFonts w:ascii="Arial" w:hAnsi="Arial" w:cs="Arial"/>
                <w:sz w:val="21"/>
                <w:szCs w:val="21"/>
                <w:lang w:val="en-GB"/>
              </w:rPr>
              <w:t xml:space="preserve"> to</w:t>
            </w:r>
            <w:r w:rsidR="006C7164">
              <w:rPr>
                <w:rFonts w:ascii="Arial" w:hAnsi="Arial" w:cs="Arial"/>
                <w:sz w:val="21"/>
                <w:szCs w:val="21"/>
                <w:lang w:val="en-GB"/>
              </w:rPr>
              <w:t xml:space="preserve">p </w:t>
            </w:r>
            <w:r w:rsidR="00866AD9">
              <w:rPr>
                <w:rFonts w:ascii="Arial" w:hAnsi="Arial" w:cs="Arial"/>
                <w:sz w:val="21"/>
                <w:szCs w:val="21"/>
                <w:lang w:val="en-GB"/>
              </w:rPr>
              <w:t>management of the company.</w:t>
            </w:r>
          </w:p>
          <w:p w14:paraId="2495169D" w14:textId="44B423A9" w:rsidR="0038166B" w:rsidRPr="005E3ECB" w:rsidRDefault="00A66A9D" w:rsidP="00A66A9D">
            <w:pPr>
              <w:spacing w:before="120" w:after="120"/>
              <w:ind w:left="345"/>
              <w:textAlignment w:val="top"/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</w:pPr>
            <w:r w:rsidRPr="0024219D">
              <w:rPr>
                <w:rFonts w:ascii="Arial" w:hAnsi="Arial" w:cs="Arial"/>
                <w:i/>
                <w:sz w:val="21"/>
                <w:szCs w:val="21"/>
                <w:lang w:val="en-US"/>
              </w:rPr>
              <w:t xml:space="preserve"> </w:t>
            </w:r>
            <w:r w:rsidR="0038166B" w:rsidRPr="0024219D">
              <w:rPr>
                <w:rFonts w:ascii="Arial" w:hAnsi="Arial" w:cs="Arial"/>
                <w:i/>
                <w:sz w:val="21"/>
                <w:szCs w:val="21"/>
                <w:lang w:val="en-US"/>
              </w:rPr>
              <w:t>(</w:t>
            </w:r>
            <w:r w:rsidR="0038166B">
              <w:rPr>
                <w:rFonts w:ascii="Arial" w:hAnsi="Arial" w:cs="Arial"/>
                <w:i/>
                <w:sz w:val="21"/>
                <w:szCs w:val="21"/>
                <w:lang w:val="en-US"/>
              </w:rPr>
              <w:t>particular cases are not disclosed due to confidentiality reasons</w:t>
            </w:r>
            <w:r w:rsidR="0038166B" w:rsidRPr="0024219D">
              <w:rPr>
                <w:rFonts w:ascii="Arial" w:hAnsi="Arial" w:cs="Arial"/>
                <w:i/>
                <w:sz w:val="21"/>
                <w:szCs w:val="21"/>
                <w:lang w:val="en-US"/>
              </w:rPr>
              <w:t>)</w:t>
            </w:r>
          </w:p>
        </w:tc>
      </w:tr>
      <w:tr w:rsidR="0038166B" w:rsidRPr="005E3ECB" w14:paraId="051EB217" w14:textId="77777777" w:rsidTr="008B02AC">
        <w:tc>
          <w:tcPr>
            <w:tcW w:w="1702" w:type="dxa"/>
            <w:vMerge w:val="restart"/>
          </w:tcPr>
          <w:p w14:paraId="26A9E751" w14:textId="77777777" w:rsidR="0038166B" w:rsidRPr="005E3ECB" w:rsidRDefault="0038166B" w:rsidP="0038166B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</w:p>
        </w:tc>
        <w:tc>
          <w:tcPr>
            <w:tcW w:w="6662" w:type="dxa"/>
          </w:tcPr>
          <w:p w14:paraId="5F7CC7D0" w14:textId="77777777" w:rsidR="0038166B" w:rsidRPr="005E3ECB" w:rsidRDefault="0038166B" w:rsidP="0038166B">
            <w:pPr>
              <w:spacing w:before="120" w:after="120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5E3ECB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Rosneft Oil Company PJSC, </w:t>
            </w:r>
            <w:r w:rsidRPr="005E3ECB">
              <w:rPr>
                <w:rFonts w:ascii="Arial" w:hAnsi="Arial" w:cs="Arial"/>
                <w:sz w:val="21"/>
                <w:szCs w:val="21"/>
                <w:lang w:val="en-GB"/>
              </w:rPr>
              <w:t>Moscow</w:t>
            </w:r>
            <w:r w:rsidRPr="005E3ECB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 </w:t>
            </w:r>
          </w:p>
          <w:p w14:paraId="5F1BDC0D" w14:textId="515B8EAB" w:rsidR="0038166B" w:rsidRPr="005E3ECB" w:rsidRDefault="0038166B" w:rsidP="002553D4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val="en-GB"/>
              </w:rPr>
              <w:t>Deputy Head of</w:t>
            </w:r>
            <w:r w:rsidR="002553D4" w:rsidRPr="002553D4">
              <w:rPr>
                <w:rFonts w:ascii="Arial" w:hAnsi="Arial" w:cs="Arial"/>
                <w:i/>
                <w:sz w:val="21"/>
                <w:szCs w:val="21"/>
                <w:lang w:val="en-US"/>
              </w:rPr>
              <w:t xml:space="preserve"> </w:t>
            </w:r>
            <w:r w:rsidRPr="005E3ECB">
              <w:rPr>
                <w:rFonts w:ascii="Arial" w:hAnsi="Arial" w:cs="Arial"/>
                <w:i/>
                <w:sz w:val="21"/>
                <w:szCs w:val="21"/>
                <w:lang w:val="en-GB"/>
              </w:rPr>
              <w:t xml:space="preserve">International </w:t>
            </w:r>
            <w:r>
              <w:rPr>
                <w:rFonts w:ascii="Arial" w:hAnsi="Arial" w:cs="Arial"/>
                <w:i/>
                <w:sz w:val="21"/>
                <w:szCs w:val="21"/>
                <w:lang w:val="en-GB"/>
              </w:rPr>
              <w:t xml:space="preserve">and Significant </w:t>
            </w:r>
            <w:r w:rsidRPr="005E3ECB">
              <w:rPr>
                <w:rFonts w:ascii="Arial" w:hAnsi="Arial" w:cs="Arial"/>
                <w:i/>
                <w:sz w:val="21"/>
                <w:szCs w:val="21"/>
                <w:lang w:val="en-GB"/>
              </w:rPr>
              <w:t>Dispute</w:t>
            </w:r>
            <w:r>
              <w:rPr>
                <w:rFonts w:ascii="Arial" w:hAnsi="Arial" w:cs="Arial"/>
                <w:i/>
                <w:sz w:val="21"/>
                <w:szCs w:val="21"/>
                <w:lang w:val="en-GB"/>
              </w:rPr>
              <w:t>s</w:t>
            </w:r>
            <w:r w:rsidRPr="005E3ECB">
              <w:rPr>
                <w:rFonts w:ascii="Arial" w:hAnsi="Arial" w:cs="Arial"/>
                <w:i/>
                <w:sz w:val="21"/>
                <w:szCs w:val="21"/>
                <w:lang w:val="en-GB"/>
              </w:rPr>
              <w:t xml:space="preserve"> </w:t>
            </w:r>
            <w:r w:rsidR="002553D4">
              <w:rPr>
                <w:rFonts w:ascii="Arial" w:hAnsi="Arial" w:cs="Arial"/>
                <w:i/>
                <w:sz w:val="21"/>
                <w:szCs w:val="21"/>
                <w:lang w:val="en-US"/>
              </w:rPr>
              <w:t>Unit</w:t>
            </w:r>
          </w:p>
        </w:tc>
        <w:tc>
          <w:tcPr>
            <w:tcW w:w="1559" w:type="dxa"/>
          </w:tcPr>
          <w:p w14:paraId="4AD5BF74" w14:textId="6A1FF1A8" w:rsidR="0038166B" w:rsidRPr="005E3ECB" w:rsidRDefault="0038166B" w:rsidP="0038166B">
            <w:pPr>
              <w:spacing w:before="120" w:after="120"/>
              <w:ind w:left="-108"/>
              <w:jc w:val="right"/>
              <w:textAlignment w:val="top"/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</w:pPr>
            <w:r w:rsidRPr="005E3ECB"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  <w:t xml:space="preserve">2016 – </w:t>
            </w:r>
            <w:r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  <w:t>2019</w:t>
            </w:r>
          </w:p>
        </w:tc>
      </w:tr>
      <w:tr w:rsidR="0038166B" w:rsidRPr="009743AE" w14:paraId="59CBFC28" w14:textId="77777777" w:rsidTr="008B02AC">
        <w:tc>
          <w:tcPr>
            <w:tcW w:w="1702" w:type="dxa"/>
            <w:vMerge/>
          </w:tcPr>
          <w:p w14:paraId="7CA37AA8" w14:textId="77777777" w:rsidR="0038166B" w:rsidRPr="005E3ECB" w:rsidRDefault="0038166B" w:rsidP="0038166B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</w:p>
        </w:tc>
        <w:tc>
          <w:tcPr>
            <w:tcW w:w="8221" w:type="dxa"/>
            <w:gridSpan w:val="2"/>
          </w:tcPr>
          <w:p w14:paraId="26A578DE" w14:textId="721D6F07" w:rsidR="0038166B" w:rsidRPr="00866AD9" w:rsidRDefault="0038166B" w:rsidP="0038166B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E3ECB">
              <w:rPr>
                <w:rFonts w:ascii="Arial" w:hAnsi="Arial" w:cs="Arial"/>
                <w:sz w:val="21"/>
                <w:szCs w:val="21"/>
                <w:lang w:val="en-GB"/>
              </w:rPr>
              <w:t xml:space="preserve">Coordination of </w:t>
            </w:r>
            <w:r w:rsidR="008F195E">
              <w:rPr>
                <w:rFonts w:ascii="Arial" w:hAnsi="Arial" w:cs="Arial"/>
                <w:sz w:val="21"/>
                <w:szCs w:val="21"/>
                <w:lang w:val="en-GB"/>
              </w:rPr>
              <w:t xml:space="preserve">work of </w:t>
            </w:r>
            <w:r w:rsidR="002553D4" w:rsidRPr="00ED7044">
              <w:rPr>
                <w:rFonts w:ascii="Arial" w:hAnsi="Arial" w:cs="Arial"/>
                <w:sz w:val="21"/>
                <w:szCs w:val="21"/>
                <w:lang w:val="en-GB"/>
              </w:rPr>
              <w:t>international</w:t>
            </w:r>
            <w:r w:rsidR="002553D4" w:rsidRPr="00ED7044">
              <w:rPr>
                <w:rFonts w:ascii="Arial" w:hAnsi="Arial" w:cs="Arial"/>
                <w:i/>
                <w:sz w:val="21"/>
                <w:szCs w:val="21"/>
                <w:lang w:val="en-GB"/>
              </w:rPr>
              <w:t xml:space="preserve"> </w:t>
            </w:r>
            <w:r w:rsidR="002553D4" w:rsidRPr="00ED7044">
              <w:rPr>
                <w:rFonts w:ascii="Arial" w:hAnsi="Arial" w:cs="Arial"/>
                <w:sz w:val="21"/>
                <w:szCs w:val="21"/>
                <w:lang w:val="en-GB"/>
              </w:rPr>
              <w:t xml:space="preserve">dispute resolution </w:t>
            </w:r>
            <w:r w:rsidRPr="005E3ECB">
              <w:rPr>
                <w:rFonts w:ascii="Arial" w:hAnsi="Arial" w:cs="Arial"/>
                <w:sz w:val="21"/>
                <w:szCs w:val="21"/>
                <w:lang w:val="en-GB"/>
              </w:rPr>
              <w:t xml:space="preserve">unit </w:t>
            </w:r>
            <w:r w:rsidR="005E10B9">
              <w:rPr>
                <w:rFonts w:ascii="Arial" w:hAnsi="Arial" w:cs="Arial"/>
                <w:sz w:val="21"/>
                <w:szCs w:val="21"/>
                <w:lang w:val="en-US"/>
              </w:rPr>
              <w:t>for</w:t>
            </w:r>
            <w:r w:rsidRPr="005E3ECB">
              <w:rPr>
                <w:rFonts w:ascii="Arial" w:hAnsi="Arial" w:cs="Arial"/>
                <w:sz w:val="21"/>
                <w:szCs w:val="21"/>
                <w:lang w:val="en-GB"/>
              </w:rPr>
              <w:t xml:space="preserve"> Rosneft and its group of companies, in particular:</w:t>
            </w:r>
            <w:r w:rsidR="002553D4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</w:p>
          <w:p w14:paraId="351A9D9D" w14:textId="1C661DDF" w:rsidR="0038166B" w:rsidRPr="005E3ECB" w:rsidRDefault="0038166B" w:rsidP="007B2DAF">
            <w:pPr>
              <w:pStyle w:val="a5"/>
              <w:numPr>
                <w:ilvl w:val="0"/>
                <w:numId w:val="4"/>
              </w:numPr>
              <w:tabs>
                <w:tab w:val="left" w:pos="1970"/>
                <w:tab w:val="center" w:pos="4273"/>
                <w:tab w:val="right" w:pos="4836"/>
              </w:tabs>
              <w:spacing w:before="120" w:after="120"/>
              <w:ind w:left="486"/>
              <w:contextualSpacing w:val="0"/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5E3ECB">
              <w:rPr>
                <w:rFonts w:ascii="Arial" w:hAnsi="Arial" w:cs="Arial"/>
                <w:sz w:val="21"/>
                <w:szCs w:val="21"/>
                <w:lang w:val="en-GB"/>
              </w:rPr>
              <w:t xml:space="preserve">Protecting interests </w:t>
            </w:r>
            <w:r w:rsidR="00A66A9D">
              <w:rPr>
                <w:rFonts w:ascii="Arial" w:hAnsi="Arial" w:cs="Arial"/>
                <w:sz w:val="21"/>
                <w:szCs w:val="21"/>
                <w:lang w:val="en-GB"/>
              </w:rPr>
              <w:t xml:space="preserve">of the group in </w:t>
            </w:r>
            <w:r w:rsidRPr="005E3ECB">
              <w:rPr>
                <w:rFonts w:ascii="Arial" w:hAnsi="Arial" w:cs="Arial"/>
                <w:sz w:val="21"/>
                <w:szCs w:val="21"/>
                <w:lang w:val="en-GB"/>
              </w:rPr>
              <w:t>various foreign jurisdictions –</w:t>
            </w:r>
            <w:r w:rsidR="00A66A9D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r w:rsidRPr="005E3ECB">
              <w:rPr>
                <w:rFonts w:ascii="Arial" w:hAnsi="Arial" w:cs="Arial"/>
                <w:sz w:val="21"/>
                <w:szCs w:val="21"/>
                <w:lang w:val="en-GB"/>
              </w:rPr>
              <w:t>in</w:t>
            </w:r>
            <w:r w:rsidR="00A66A9D">
              <w:rPr>
                <w:rFonts w:ascii="Arial" w:hAnsi="Arial" w:cs="Arial"/>
                <w:sz w:val="21"/>
                <w:szCs w:val="21"/>
                <w:lang w:val="en-GB"/>
              </w:rPr>
              <w:t xml:space="preserve"> international arbitrations, foreign courts,</w:t>
            </w:r>
            <w:r w:rsidRPr="005E3ECB">
              <w:rPr>
                <w:rFonts w:ascii="Arial" w:hAnsi="Arial" w:cs="Arial"/>
                <w:sz w:val="21"/>
                <w:szCs w:val="21"/>
                <w:lang w:val="en-GB"/>
              </w:rPr>
              <w:t xml:space="preserve"> administrative procedures: from developing legal strategy and coordinating </w:t>
            </w:r>
            <w:r w:rsidR="00A35CA6">
              <w:rPr>
                <w:rFonts w:ascii="Arial" w:hAnsi="Arial" w:cs="Arial"/>
                <w:sz w:val="21"/>
                <w:szCs w:val="21"/>
                <w:lang w:val="en-GB"/>
              </w:rPr>
              <w:t xml:space="preserve">thereof </w:t>
            </w:r>
            <w:r w:rsidRPr="005E3ECB">
              <w:rPr>
                <w:rFonts w:ascii="Arial" w:hAnsi="Arial" w:cs="Arial"/>
                <w:sz w:val="21"/>
                <w:szCs w:val="21"/>
                <w:lang w:val="en-GB"/>
              </w:rPr>
              <w:t>with top-management to drafting submissions, working with witnesses, supervising work of foreign counsel, attending hearings.</w:t>
            </w:r>
          </w:p>
          <w:p w14:paraId="591D5604" w14:textId="09DDCFF9" w:rsidR="0038166B" w:rsidRPr="005E3ECB" w:rsidRDefault="0038166B" w:rsidP="008F195E">
            <w:pPr>
              <w:pStyle w:val="a5"/>
              <w:tabs>
                <w:tab w:val="left" w:pos="1970"/>
                <w:tab w:val="center" w:pos="4273"/>
                <w:tab w:val="right" w:pos="4836"/>
              </w:tabs>
              <w:spacing w:before="120" w:after="120"/>
              <w:ind w:left="486"/>
              <w:contextualSpacing w:val="0"/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5E3ECB">
              <w:rPr>
                <w:rFonts w:ascii="Arial" w:hAnsi="Arial" w:cs="Arial"/>
                <w:i/>
                <w:sz w:val="21"/>
                <w:szCs w:val="21"/>
                <w:lang w:val="en-GB"/>
              </w:rPr>
              <w:t xml:space="preserve">Experience includes arbitrations under LCIA, SCC, ICC, UNCITRAL, ICAC rules, litigations in the High Court of Justice of England and Wales, US federal courts and courts </w:t>
            </w:r>
            <w:r w:rsidR="00211FFC">
              <w:rPr>
                <w:rFonts w:ascii="Arial" w:hAnsi="Arial" w:cs="Arial"/>
                <w:i/>
                <w:sz w:val="21"/>
                <w:szCs w:val="21"/>
                <w:lang w:val="en-GB"/>
              </w:rPr>
              <w:t>at other jurisdictions</w:t>
            </w:r>
            <w:r w:rsidRPr="005E3ECB">
              <w:rPr>
                <w:rFonts w:ascii="Arial" w:hAnsi="Arial" w:cs="Arial"/>
                <w:i/>
                <w:sz w:val="21"/>
                <w:szCs w:val="21"/>
                <w:lang w:val="en-GB"/>
              </w:rPr>
              <w:t>, transnational insolvency procedure</w:t>
            </w:r>
            <w:r w:rsidR="00A66A9D">
              <w:rPr>
                <w:rFonts w:ascii="Arial" w:hAnsi="Arial" w:cs="Arial"/>
                <w:i/>
                <w:sz w:val="21"/>
                <w:szCs w:val="21"/>
                <w:lang w:val="en-GB"/>
              </w:rPr>
              <w:t>, involving Gibraltar and</w:t>
            </w:r>
            <w:r w:rsidR="00211FFC">
              <w:rPr>
                <w:rFonts w:ascii="Arial" w:hAnsi="Arial" w:cs="Arial"/>
                <w:i/>
                <w:sz w:val="21"/>
                <w:szCs w:val="21"/>
                <w:lang w:val="en-GB"/>
              </w:rPr>
              <w:t xml:space="preserve"> various European jurisdictions, challenging sanctions at the </w:t>
            </w:r>
            <w:r w:rsidR="00211FFC" w:rsidRPr="005E3ECB">
              <w:rPr>
                <w:rFonts w:ascii="Arial" w:hAnsi="Arial" w:cs="Arial"/>
                <w:i/>
                <w:sz w:val="21"/>
                <w:szCs w:val="21"/>
                <w:lang w:val="en-GB"/>
              </w:rPr>
              <w:t>EU Court</w:t>
            </w:r>
            <w:r w:rsidR="00211FFC">
              <w:rPr>
                <w:rFonts w:ascii="Arial" w:hAnsi="Arial" w:cs="Arial"/>
                <w:i/>
                <w:sz w:val="21"/>
                <w:szCs w:val="21"/>
                <w:lang w:val="en-GB"/>
              </w:rPr>
              <w:t>.</w:t>
            </w:r>
          </w:p>
          <w:p w14:paraId="5579CA51" w14:textId="1494AEFC" w:rsidR="0038166B" w:rsidRPr="005E3ECB" w:rsidRDefault="0038166B" w:rsidP="007B2DAF">
            <w:pPr>
              <w:pStyle w:val="a5"/>
              <w:numPr>
                <w:ilvl w:val="0"/>
                <w:numId w:val="4"/>
              </w:numPr>
              <w:tabs>
                <w:tab w:val="left" w:pos="1970"/>
                <w:tab w:val="center" w:pos="4273"/>
                <w:tab w:val="right" w:pos="4836"/>
              </w:tabs>
              <w:spacing w:before="120" w:after="120"/>
              <w:ind w:left="486"/>
              <w:contextualSpacing w:val="0"/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Advising</w:t>
            </w:r>
            <w:r w:rsidRPr="005E3ECB">
              <w:rPr>
                <w:rFonts w:ascii="Arial" w:hAnsi="Arial" w:cs="Arial"/>
                <w:sz w:val="21"/>
                <w:szCs w:val="21"/>
                <w:lang w:val="en-GB"/>
              </w:rPr>
              <w:t xml:space="preserve"> business units on IDR issues, invest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>ment</w:t>
            </w:r>
            <w:r w:rsidRPr="005E3ECB">
              <w:rPr>
                <w:rFonts w:ascii="Arial" w:hAnsi="Arial" w:cs="Arial"/>
                <w:sz w:val="21"/>
                <w:szCs w:val="21"/>
                <w:lang w:val="en-GB"/>
              </w:rPr>
              <w:t xml:space="preserve"> arbitrations, assets tracing, risks arising out of commercial contracts, prospects of </w:t>
            </w:r>
            <w:r w:rsidR="00A66A9D">
              <w:rPr>
                <w:rFonts w:ascii="Arial" w:hAnsi="Arial" w:cs="Arial"/>
                <w:sz w:val="21"/>
                <w:szCs w:val="21"/>
                <w:lang w:val="en-GB"/>
              </w:rPr>
              <w:t>claims under foreign law</w:t>
            </w:r>
            <w:r w:rsidRPr="005E3ECB">
              <w:rPr>
                <w:rFonts w:ascii="Arial" w:hAnsi="Arial" w:cs="Arial"/>
                <w:sz w:val="21"/>
                <w:szCs w:val="21"/>
                <w:lang w:val="en-GB"/>
              </w:rPr>
              <w:t>, witness testifying and evidence disclosure under UK and US laws;</w:t>
            </w:r>
          </w:p>
          <w:p w14:paraId="3C5370B9" w14:textId="7BA4EE06" w:rsidR="0038166B" w:rsidRPr="005E3ECB" w:rsidRDefault="0038166B" w:rsidP="007B2DAF">
            <w:pPr>
              <w:pStyle w:val="a5"/>
              <w:numPr>
                <w:ilvl w:val="0"/>
                <w:numId w:val="4"/>
              </w:numPr>
              <w:tabs>
                <w:tab w:val="left" w:pos="1970"/>
                <w:tab w:val="center" w:pos="4273"/>
                <w:tab w:val="right" w:pos="4836"/>
              </w:tabs>
              <w:spacing w:before="120" w:after="120"/>
              <w:ind w:left="486"/>
              <w:contextualSpacing w:val="0"/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Advising</w:t>
            </w:r>
            <w:r w:rsidRPr="005E3ECB">
              <w:rPr>
                <w:rFonts w:ascii="Arial" w:hAnsi="Arial" w:cs="Arial"/>
                <w:sz w:val="21"/>
                <w:szCs w:val="21"/>
                <w:lang w:val="en-GB"/>
              </w:rPr>
              <w:t xml:space="preserve"> business units and top management on applicability of the US and EU sanctions, commercial risks related to restrictions imposed by the sanctions, challenging 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the </w:t>
            </w:r>
            <w:r w:rsidRPr="005E3ECB">
              <w:rPr>
                <w:rFonts w:ascii="Arial" w:hAnsi="Arial" w:cs="Arial"/>
                <w:sz w:val="21"/>
                <w:szCs w:val="21"/>
                <w:lang w:val="en-GB"/>
              </w:rPr>
              <w:t xml:space="preserve">sanctions; </w:t>
            </w:r>
          </w:p>
          <w:p w14:paraId="76683E57" w14:textId="77777777" w:rsidR="0038377C" w:rsidRDefault="00A35CA6" w:rsidP="007B2DAF">
            <w:pPr>
              <w:pStyle w:val="a5"/>
              <w:numPr>
                <w:ilvl w:val="0"/>
                <w:numId w:val="4"/>
              </w:numPr>
              <w:tabs>
                <w:tab w:val="left" w:pos="1970"/>
                <w:tab w:val="center" w:pos="4273"/>
                <w:tab w:val="right" w:pos="4836"/>
              </w:tabs>
              <w:spacing w:before="120" w:after="120"/>
              <w:ind w:left="486"/>
              <w:contextualSpacing w:val="0"/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C</w:t>
            </w:r>
            <w:r w:rsidR="0038166B" w:rsidRPr="00A35CA6">
              <w:rPr>
                <w:rFonts w:ascii="Arial" w:hAnsi="Arial" w:cs="Arial"/>
                <w:sz w:val="21"/>
                <w:szCs w:val="21"/>
                <w:lang w:val="en-GB"/>
              </w:rPr>
              <w:t>oordinating work of foreign legal advisors</w:t>
            </w:r>
            <w:r w:rsidRPr="00A35CA6">
              <w:rPr>
                <w:rFonts w:ascii="Arial" w:hAnsi="Arial" w:cs="Arial"/>
                <w:sz w:val="21"/>
                <w:szCs w:val="21"/>
                <w:lang w:val="en-GB"/>
              </w:rPr>
              <w:t>, h</w:t>
            </w:r>
            <w:r w:rsidR="0038166B" w:rsidRPr="00A35CA6">
              <w:rPr>
                <w:rFonts w:ascii="Arial" w:hAnsi="Arial" w:cs="Arial"/>
                <w:sz w:val="21"/>
                <w:szCs w:val="21"/>
                <w:lang w:val="en-GB"/>
              </w:rPr>
              <w:t xml:space="preserve">andling negotiations with opponents, consulting business units on settlement terms, 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>c</w:t>
            </w:r>
            <w:r w:rsidR="0038166B" w:rsidRPr="00A35CA6">
              <w:rPr>
                <w:rFonts w:ascii="Arial" w:hAnsi="Arial" w:cs="Arial"/>
                <w:sz w:val="21"/>
                <w:szCs w:val="21"/>
                <w:lang w:val="en-GB"/>
              </w:rPr>
              <w:t>oordinating with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r w:rsidR="0038166B" w:rsidRPr="00A35CA6">
              <w:rPr>
                <w:rFonts w:ascii="Arial" w:hAnsi="Arial" w:cs="Arial"/>
                <w:sz w:val="21"/>
                <w:szCs w:val="21"/>
                <w:lang w:val="en-GB"/>
              </w:rPr>
              <w:t xml:space="preserve">PR 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>on strategy to protect the company’s reputation</w:t>
            </w:r>
            <w:r w:rsidR="0038166B" w:rsidRPr="00A35CA6">
              <w:rPr>
                <w:rFonts w:ascii="Arial" w:hAnsi="Arial" w:cs="Arial"/>
                <w:sz w:val="21"/>
                <w:szCs w:val="21"/>
                <w:lang w:val="en-GB"/>
              </w:rPr>
              <w:t>;</w:t>
            </w:r>
          </w:p>
          <w:p w14:paraId="63742FFF" w14:textId="184856F4" w:rsidR="0038377C" w:rsidRPr="0038377C" w:rsidRDefault="0038377C" w:rsidP="007B2DAF">
            <w:pPr>
              <w:pStyle w:val="a5"/>
              <w:numPr>
                <w:ilvl w:val="0"/>
                <w:numId w:val="4"/>
              </w:numPr>
              <w:tabs>
                <w:tab w:val="left" w:pos="1970"/>
                <w:tab w:val="center" w:pos="4273"/>
                <w:tab w:val="right" w:pos="4836"/>
              </w:tabs>
              <w:spacing w:before="120" w:after="120"/>
              <w:ind w:left="486"/>
              <w:contextualSpacing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38377C">
              <w:rPr>
                <w:rFonts w:ascii="Arial" w:hAnsi="Arial" w:cs="Arial"/>
                <w:sz w:val="21"/>
                <w:szCs w:val="21"/>
                <w:lang w:val="en-GB"/>
              </w:rPr>
              <w:t>Pro</w:t>
            </w:r>
            <w:r w:rsidRPr="0038377C">
              <w:rPr>
                <w:rFonts w:ascii="Arial" w:hAnsi="Arial" w:cs="Arial"/>
                <w:sz w:val="21"/>
                <w:szCs w:val="21"/>
                <w:lang w:val="en-US"/>
              </w:rPr>
              <w:t xml:space="preserve">tected </w:t>
            </w:r>
            <w:r w:rsidR="008F195E">
              <w:rPr>
                <w:rFonts w:ascii="Arial" w:hAnsi="Arial" w:cs="Arial"/>
                <w:sz w:val="21"/>
                <w:szCs w:val="21"/>
                <w:lang w:val="en-US"/>
              </w:rPr>
              <w:t>an</w:t>
            </w:r>
            <w:r w:rsidRPr="0038377C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="008F195E">
              <w:rPr>
                <w:rFonts w:ascii="Arial" w:hAnsi="Arial" w:cs="Arial"/>
                <w:sz w:val="21"/>
                <w:szCs w:val="21"/>
                <w:lang w:val="en-US"/>
              </w:rPr>
              <w:t>affiliate</w:t>
            </w:r>
            <w:r w:rsidRPr="0038377C">
              <w:rPr>
                <w:rFonts w:ascii="Arial" w:hAnsi="Arial" w:cs="Arial"/>
                <w:sz w:val="21"/>
                <w:szCs w:val="21"/>
                <w:lang w:val="en-US"/>
              </w:rPr>
              <w:t xml:space="preserve"> from enforcing an award </w:t>
            </w:r>
            <w:r w:rsidR="008F195E">
              <w:rPr>
                <w:rFonts w:ascii="Arial" w:hAnsi="Arial" w:cs="Arial"/>
                <w:sz w:val="21"/>
                <w:szCs w:val="21"/>
                <w:lang w:val="en-US"/>
              </w:rPr>
              <w:t xml:space="preserve">against it </w:t>
            </w:r>
            <w:r w:rsidRPr="0038377C">
              <w:rPr>
                <w:rFonts w:ascii="Arial" w:hAnsi="Arial" w:cs="Arial"/>
                <w:sz w:val="21"/>
                <w:szCs w:val="21"/>
                <w:lang w:val="en-US"/>
              </w:rPr>
              <w:t>in the US</w:t>
            </w:r>
            <w:r w:rsidR="008F195E">
              <w:rPr>
                <w:rFonts w:ascii="Arial" w:hAnsi="Arial" w:cs="Arial"/>
                <w:sz w:val="21"/>
                <w:szCs w:val="21"/>
                <w:lang w:val="en-US"/>
              </w:rPr>
              <w:t>A</w:t>
            </w:r>
            <w:r w:rsidRPr="0038377C">
              <w:rPr>
                <w:rFonts w:ascii="Arial" w:hAnsi="Arial" w:cs="Arial"/>
                <w:sz w:val="21"/>
                <w:szCs w:val="21"/>
                <w:lang w:val="en-US"/>
              </w:rPr>
              <w:t xml:space="preserve"> for USD 200 mln</w:t>
            </w:r>
            <w:r w:rsidR="008F195E">
              <w:rPr>
                <w:rFonts w:ascii="Arial" w:hAnsi="Arial" w:cs="Arial"/>
                <w:sz w:val="21"/>
                <w:szCs w:val="21"/>
                <w:lang w:val="en-US"/>
              </w:rPr>
              <w:t xml:space="preserve">: </w:t>
            </w:r>
            <w:hyperlink r:id="rId8" w:history="1">
              <w:r w:rsidRPr="0038377C">
                <w:rPr>
                  <w:rStyle w:val="a3"/>
                  <w:rFonts w:ascii="Arial" w:hAnsi="Arial" w:cs="Arial"/>
                  <w:sz w:val="21"/>
                  <w:szCs w:val="21"/>
                  <w:lang w:val="en-US"/>
                </w:rPr>
                <w:t>https://globalarbitrationreview.com/third-party-funding/rosneft-subsidiary-spared-enforcement-in-texas</w:t>
              </w:r>
            </w:hyperlink>
          </w:p>
          <w:p w14:paraId="5E9D7630" w14:textId="6D8993E1" w:rsidR="0038166B" w:rsidRPr="0024219D" w:rsidRDefault="008F195E" w:rsidP="0038377C">
            <w:pPr>
              <w:spacing w:before="120" w:after="120"/>
              <w:ind w:left="345"/>
              <w:textAlignment w:val="top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val="en-US"/>
              </w:rPr>
              <w:t xml:space="preserve">  </w:t>
            </w:r>
            <w:r w:rsidR="0038166B" w:rsidRPr="0024219D">
              <w:rPr>
                <w:rFonts w:ascii="Arial" w:hAnsi="Arial" w:cs="Arial"/>
                <w:i/>
                <w:sz w:val="21"/>
                <w:szCs w:val="21"/>
                <w:lang w:val="en-US"/>
              </w:rPr>
              <w:t>(</w:t>
            </w:r>
            <w:r w:rsidR="0038377C">
              <w:rPr>
                <w:rFonts w:ascii="Arial" w:hAnsi="Arial" w:cs="Arial"/>
                <w:i/>
                <w:sz w:val="21"/>
                <w:szCs w:val="21"/>
                <w:lang w:val="en-US"/>
              </w:rPr>
              <w:t xml:space="preserve">other </w:t>
            </w:r>
            <w:r w:rsidR="0038166B">
              <w:rPr>
                <w:rFonts w:ascii="Arial" w:hAnsi="Arial" w:cs="Arial"/>
                <w:i/>
                <w:sz w:val="21"/>
                <w:szCs w:val="21"/>
                <w:lang w:val="en-US"/>
              </w:rPr>
              <w:t>cases are not disclosed due to confidentiality reasons</w:t>
            </w:r>
            <w:r w:rsidR="0038166B" w:rsidRPr="0024219D">
              <w:rPr>
                <w:rFonts w:ascii="Arial" w:hAnsi="Arial" w:cs="Arial"/>
                <w:i/>
                <w:sz w:val="21"/>
                <w:szCs w:val="21"/>
                <w:lang w:val="en-US"/>
              </w:rPr>
              <w:t>)</w:t>
            </w:r>
          </w:p>
        </w:tc>
      </w:tr>
      <w:tr w:rsidR="0038166B" w:rsidRPr="005E3ECB" w14:paraId="1A16B860" w14:textId="77777777" w:rsidTr="008B02AC">
        <w:tc>
          <w:tcPr>
            <w:tcW w:w="1702" w:type="dxa"/>
          </w:tcPr>
          <w:p w14:paraId="019579E1" w14:textId="77777777" w:rsidR="0038166B" w:rsidRPr="0038377C" w:rsidRDefault="0038166B" w:rsidP="0038166B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6662" w:type="dxa"/>
          </w:tcPr>
          <w:p w14:paraId="5E715D11" w14:textId="52CCE99D" w:rsidR="0038166B" w:rsidRPr="005E3ECB" w:rsidRDefault="0038166B" w:rsidP="0038166B">
            <w:pPr>
              <w:spacing w:before="120" w:after="120"/>
              <w:rPr>
                <w:rFonts w:ascii="Arial" w:eastAsia="Times New Roman" w:hAnsi="Arial" w:cs="Arial"/>
                <w:i/>
                <w:sz w:val="21"/>
                <w:szCs w:val="21"/>
                <w:lang w:val="en-GB" w:eastAsia="ru-RU"/>
              </w:rPr>
            </w:pPr>
            <w:r w:rsidRPr="005E3ECB">
              <w:rPr>
                <w:rFonts w:ascii="Arial" w:hAnsi="Arial" w:cs="Arial"/>
                <w:b/>
                <w:sz w:val="21"/>
                <w:szCs w:val="21"/>
                <w:lang w:val="en-GB"/>
              </w:rPr>
              <w:t>EGOROV, PUGINSKY, AFANASIEV &amp; PARTNERS</w:t>
            </w:r>
            <w:r w:rsidRPr="005E3ECB">
              <w:rPr>
                <w:rFonts w:ascii="Arial" w:hAnsi="Arial" w:cs="Arial"/>
                <w:sz w:val="21"/>
                <w:szCs w:val="21"/>
                <w:lang w:val="en-GB"/>
              </w:rPr>
              <w:t>, Saint-Petersburg</w:t>
            </w:r>
            <w:r w:rsidR="00A33DDA">
              <w:rPr>
                <w:rFonts w:ascii="Arial" w:hAnsi="Arial" w:cs="Arial"/>
                <w:sz w:val="21"/>
                <w:szCs w:val="21"/>
                <w:lang w:val="en-GB"/>
              </w:rPr>
              <w:t xml:space="preserve">, </w:t>
            </w:r>
            <w:hyperlink r:id="rId9" w:history="1">
              <w:r w:rsidR="00A33DDA" w:rsidRPr="005E3ECB">
                <w:rPr>
                  <w:rStyle w:val="a3"/>
                  <w:rFonts w:ascii="Arial" w:eastAsia="Times New Roman" w:hAnsi="Arial" w:cs="Arial"/>
                  <w:sz w:val="21"/>
                  <w:szCs w:val="21"/>
                  <w:lang w:val="en-GB" w:eastAsia="ru-RU"/>
                </w:rPr>
                <w:t>www.epam.ru</w:t>
              </w:r>
            </w:hyperlink>
            <w:r w:rsidRPr="005E3ECB">
              <w:rPr>
                <w:rFonts w:ascii="Arial" w:eastAsia="Times New Roman" w:hAnsi="Arial" w:cs="Arial"/>
                <w:i/>
                <w:sz w:val="21"/>
                <w:szCs w:val="21"/>
                <w:lang w:val="en-GB" w:eastAsia="ru-RU"/>
              </w:rPr>
              <w:t xml:space="preserve"> </w:t>
            </w:r>
          </w:p>
          <w:p w14:paraId="3E0C3516" w14:textId="2D46E1A7" w:rsidR="0038166B" w:rsidRPr="005E3ECB" w:rsidRDefault="0038166B" w:rsidP="002553D4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5E3ECB">
              <w:rPr>
                <w:rFonts w:ascii="Arial" w:eastAsia="Times New Roman" w:hAnsi="Arial" w:cs="Arial"/>
                <w:i/>
                <w:sz w:val="21"/>
                <w:szCs w:val="21"/>
                <w:lang w:val="en-GB" w:eastAsia="ru-RU"/>
              </w:rPr>
              <w:t>Attorney-at-Law</w:t>
            </w:r>
            <w:r>
              <w:rPr>
                <w:rFonts w:ascii="Arial" w:eastAsia="Times New Roman" w:hAnsi="Arial" w:cs="Arial"/>
                <w:i/>
                <w:sz w:val="21"/>
                <w:szCs w:val="21"/>
                <w:lang w:val="en-GB" w:eastAsia="ru-RU"/>
              </w:rPr>
              <w:t xml:space="preserve"> (I</w:t>
            </w:r>
            <w:r w:rsidR="002553D4">
              <w:rPr>
                <w:rFonts w:ascii="Arial" w:eastAsia="Times New Roman" w:hAnsi="Arial" w:cs="Arial"/>
                <w:i/>
                <w:sz w:val="21"/>
                <w:szCs w:val="21"/>
                <w:lang w:val="en-GB" w:eastAsia="ru-RU"/>
              </w:rPr>
              <w:t xml:space="preserve">nternational </w:t>
            </w:r>
            <w:r>
              <w:rPr>
                <w:rFonts w:ascii="Arial" w:eastAsia="Times New Roman" w:hAnsi="Arial" w:cs="Arial"/>
                <w:i/>
                <w:sz w:val="21"/>
                <w:szCs w:val="21"/>
                <w:lang w:val="en-GB" w:eastAsia="ru-RU"/>
              </w:rPr>
              <w:t>D</w:t>
            </w:r>
            <w:r w:rsidR="002553D4">
              <w:rPr>
                <w:rFonts w:ascii="Arial" w:eastAsia="Times New Roman" w:hAnsi="Arial" w:cs="Arial"/>
                <w:i/>
                <w:sz w:val="21"/>
                <w:szCs w:val="21"/>
                <w:lang w:val="en-GB" w:eastAsia="ru-RU"/>
              </w:rPr>
              <w:t xml:space="preserve">ispute </w:t>
            </w:r>
            <w:r>
              <w:rPr>
                <w:rFonts w:ascii="Arial" w:eastAsia="Times New Roman" w:hAnsi="Arial" w:cs="Arial"/>
                <w:i/>
                <w:sz w:val="21"/>
                <w:szCs w:val="21"/>
                <w:lang w:val="en-GB" w:eastAsia="ru-RU"/>
              </w:rPr>
              <w:t>R</w:t>
            </w:r>
            <w:r w:rsidR="002553D4">
              <w:rPr>
                <w:rFonts w:ascii="Arial" w:eastAsia="Times New Roman" w:hAnsi="Arial" w:cs="Arial"/>
                <w:i/>
                <w:sz w:val="21"/>
                <w:szCs w:val="21"/>
                <w:lang w:val="en-GB" w:eastAsia="ru-RU"/>
              </w:rPr>
              <w:t>esolution</w:t>
            </w:r>
            <w:r>
              <w:rPr>
                <w:rFonts w:ascii="Arial" w:eastAsia="Times New Roman" w:hAnsi="Arial" w:cs="Arial"/>
                <w:i/>
                <w:sz w:val="21"/>
                <w:szCs w:val="21"/>
                <w:lang w:val="en-GB" w:eastAsia="ru-RU"/>
              </w:rPr>
              <w:t xml:space="preserve"> </w:t>
            </w:r>
            <w:r w:rsidR="002553D4">
              <w:rPr>
                <w:rFonts w:ascii="Arial" w:eastAsia="Times New Roman" w:hAnsi="Arial" w:cs="Arial"/>
                <w:i/>
                <w:sz w:val="21"/>
                <w:szCs w:val="21"/>
                <w:lang w:val="en-GB" w:eastAsia="ru-RU"/>
              </w:rPr>
              <w:t>Practice</w:t>
            </w:r>
            <w:r>
              <w:rPr>
                <w:rFonts w:ascii="Arial" w:eastAsia="Times New Roman" w:hAnsi="Arial" w:cs="Arial"/>
                <w:i/>
                <w:sz w:val="21"/>
                <w:szCs w:val="21"/>
                <w:lang w:val="en-GB" w:eastAsia="ru-RU"/>
              </w:rPr>
              <w:t>)</w:t>
            </w:r>
          </w:p>
        </w:tc>
        <w:tc>
          <w:tcPr>
            <w:tcW w:w="1559" w:type="dxa"/>
          </w:tcPr>
          <w:p w14:paraId="755D5F1C" w14:textId="77777777" w:rsidR="0038166B" w:rsidRPr="005E3ECB" w:rsidRDefault="0038166B" w:rsidP="0038166B">
            <w:pPr>
              <w:spacing w:before="120" w:after="120"/>
              <w:ind w:left="-108"/>
              <w:jc w:val="right"/>
              <w:textAlignment w:val="top"/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</w:pPr>
            <w:r w:rsidRPr="005E3ECB"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  <w:t>2010 - 2016</w:t>
            </w:r>
          </w:p>
        </w:tc>
      </w:tr>
      <w:tr w:rsidR="0038166B" w:rsidRPr="009743AE" w14:paraId="3783F0A8" w14:textId="77777777" w:rsidTr="009668D4">
        <w:tc>
          <w:tcPr>
            <w:tcW w:w="1702" w:type="dxa"/>
          </w:tcPr>
          <w:p w14:paraId="74ABF072" w14:textId="77777777" w:rsidR="0038166B" w:rsidRPr="005E3ECB" w:rsidRDefault="0038166B" w:rsidP="0038166B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</w:p>
        </w:tc>
        <w:tc>
          <w:tcPr>
            <w:tcW w:w="8221" w:type="dxa"/>
            <w:gridSpan w:val="2"/>
          </w:tcPr>
          <w:p w14:paraId="033440C0" w14:textId="59909335" w:rsidR="0038166B" w:rsidRPr="005E3ECB" w:rsidRDefault="00301F65" w:rsidP="0038166B">
            <w:pPr>
              <w:spacing w:before="120" w:after="120"/>
              <w:jc w:val="both"/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  <w:t>Representing clients</w:t>
            </w:r>
            <w:r w:rsidR="0038166B"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  <w:t xml:space="preserve"> in international arbitrations, Russian and foreign courts</w:t>
            </w:r>
            <w:r w:rsidR="0038166B" w:rsidRPr="005E3ECB"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  <w:t xml:space="preserve">, </w:t>
            </w:r>
            <w:r w:rsidR="0038166B"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  <w:t xml:space="preserve">consulting on issues </w:t>
            </w:r>
            <w:r w:rsidR="00211FFC"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  <w:t>of</w:t>
            </w:r>
            <w:r w:rsidR="0038166B"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  <w:t xml:space="preserve"> assets restructuring and protection in corporate conflicts</w:t>
            </w:r>
            <w:r w:rsidR="0038166B" w:rsidRPr="005E3ECB"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  <w:t>.</w:t>
            </w:r>
          </w:p>
          <w:p w14:paraId="1342D60A" w14:textId="60E47361" w:rsidR="002553D4" w:rsidRPr="009E08D6" w:rsidRDefault="002553D4" w:rsidP="002553D4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Successful </w:t>
            </w:r>
            <w:r w:rsidRPr="005E3ECB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>experience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 xml:space="preserve"> includes</w:t>
            </w:r>
            <w:r w:rsidRPr="005E3ECB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 xml:space="preserve"> </w:t>
            </w:r>
            <w:r w:rsidR="00946C9B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 xml:space="preserve">arbitrations </w:t>
            </w:r>
            <w:r w:rsidR="00301F65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>under</w:t>
            </w:r>
            <w:r w:rsidRPr="005E3ECB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 xml:space="preserve">LCIA, SCC, </w:t>
            </w:r>
            <w:r w:rsidRPr="005E3ECB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>ICAC</w:t>
            </w:r>
            <w:r w:rsidR="00301F65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 xml:space="preserve"> Rules</w:t>
            </w:r>
            <w:r w:rsidR="009743AE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>, Swiss Rules</w:t>
            </w:r>
            <w:r w:rsidRPr="005E3ECB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 xml:space="preserve">, </w:t>
            </w:r>
            <w:r w:rsidR="008B02AC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>enforcement of arbitral awards in Russia</w:t>
            </w:r>
            <w:r w:rsidR="00D62AF5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>, representing clients in foreign litigation</w:t>
            </w:r>
            <w:r w:rsidR="00301F65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>s</w:t>
            </w:r>
            <w:r w:rsidR="00301F65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 and </w:t>
            </w:r>
            <w:r w:rsidR="009E08D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Russian state courts.</w:t>
            </w:r>
          </w:p>
          <w:p w14:paraId="06A4B8A1" w14:textId="0D6FE763" w:rsidR="0038166B" w:rsidRPr="005E3ECB" w:rsidRDefault="00553015" w:rsidP="0038166B">
            <w:pPr>
              <w:spacing w:before="120" w:after="120"/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Highlights</w:t>
            </w:r>
            <w:r w:rsidR="0038166B" w:rsidRPr="005E3ECB"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  <w:t xml:space="preserve">: </w:t>
            </w:r>
          </w:p>
          <w:p w14:paraId="39D4D840" w14:textId="7A887E04" w:rsidR="00A33DDA" w:rsidRDefault="00247F0E" w:rsidP="00A33DDA">
            <w:pPr>
              <w:pStyle w:val="a5"/>
              <w:numPr>
                <w:ilvl w:val="0"/>
                <w:numId w:val="4"/>
              </w:numPr>
              <w:spacing w:before="120" w:after="120"/>
              <w:ind w:left="714" w:hanging="357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</w:pPr>
            <w:r w:rsidRPr="009F09B6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val="en-US"/>
              </w:rPr>
              <w:t>«Bank Saint-Petersburg v Arkhangelsky»</w:t>
            </w:r>
            <w:r w:rsidR="00E366B2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val="en-US"/>
              </w:rPr>
              <w:t>, High Court of Justice</w:t>
            </w:r>
            <w:r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val="en-US"/>
              </w:rPr>
              <w:t>.</w:t>
            </w:r>
            <w:r w:rsidR="00301F65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r w:rsidR="00E366B2" w:rsidRPr="00A33DDA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Successful </w:t>
            </w:r>
            <w:r w:rsidR="00E366B2" w:rsidRPr="00A33DDA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>r</w:t>
            </w:r>
            <w:r w:rsidRPr="00A33DDA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>epresent</w:t>
            </w:r>
            <w:r w:rsidR="00E366B2" w:rsidRPr="00A33DDA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 xml:space="preserve">ation of </w:t>
            </w:r>
            <w:r w:rsidRPr="00A33DDA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>a major Russian private bank in a number of cases for recovery of debts and protection of the bank against counterclaims based on allegations of fraud and hostile takeover (</w:t>
            </w:r>
            <w:r w:rsidR="00211FFC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>estimated amount of counterclaim</w:t>
            </w:r>
            <w:r w:rsidRPr="00A33DDA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 xml:space="preserve"> - circa USD 500 mln), which were brought before the High Court of Justice in London and number of French, Bulgarian and BVI state courts. </w:t>
            </w:r>
          </w:p>
          <w:p w14:paraId="16DBFE97" w14:textId="611B7BB2" w:rsidR="00A33DDA" w:rsidRPr="00A33DDA" w:rsidRDefault="00247F0E" w:rsidP="00A33DDA">
            <w:pPr>
              <w:pStyle w:val="a5"/>
              <w:spacing w:before="120" w:after="120"/>
              <w:ind w:left="714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</w:pPr>
            <w:r w:rsidRPr="00A33DDA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>Experience includes over</w:t>
            </w:r>
            <w:r w:rsidR="00A33DDA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>all coordination of the process and</w:t>
            </w:r>
            <w:r w:rsidRPr="00A33DDA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 xml:space="preserve"> </w:t>
            </w:r>
            <w:r w:rsidR="00A33DDA" w:rsidRPr="00A33DDA">
              <w:rPr>
                <w:rFonts w:ascii="Arial" w:hAnsi="Arial" w:cs="Arial"/>
                <w:sz w:val="21"/>
                <w:szCs w:val="21"/>
                <w:lang w:val="en-GB"/>
              </w:rPr>
              <w:t>supervising work of foreign counsel</w:t>
            </w:r>
            <w:r w:rsidR="00A33DDA">
              <w:rPr>
                <w:rFonts w:ascii="Arial" w:hAnsi="Arial" w:cs="Arial"/>
                <w:sz w:val="21"/>
                <w:szCs w:val="21"/>
                <w:lang w:val="en-GB"/>
              </w:rPr>
              <w:t xml:space="preserve">, </w:t>
            </w:r>
            <w:r w:rsidRPr="00A33DDA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>work with witnesses of fact</w:t>
            </w:r>
            <w:r w:rsidR="00301F65" w:rsidRPr="00A33DDA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 xml:space="preserve"> (including top management of the client)</w:t>
            </w:r>
            <w:r w:rsidRPr="00A33DDA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>, analysis of evidence, handling disclosure under English law, advising solicitors’ team</w:t>
            </w:r>
            <w:r w:rsidR="00301F65" w:rsidRPr="00A33DDA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 xml:space="preserve"> on Russian law issues,</w:t>
            </w:r>
            <w:r w:rsidR="00301F65" w:rsidRPr="00A33DDA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r w:rsidR="009743AE" w:rsidRPr="00A33DDA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and work</w:t>
            </w:r>
            <w:r w:rsidR="00211FFC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 xml:space="preserve"> with experts in area of </w:t>
            </w:r>
            <w:r w:rsidRPr="00A33DDA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>law, bank expertise, va</w:t>
            </w:r>
            <w:r w:rsidR="00A33DDA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>luation of assets and handwriting.</w:t>
            </w:r>
          </w:p>
          <w:p w14:paraId="1BD345E8" w14:textId="1E0AE03D" w:rsidR="002553D4" w:rsidRPr="005E3ECB" w:rsidRDefault="002553D4" w:rsidP="002553D4">
            <w:pPr>
              <w:pStyle w:val="a5"/>
              <w:numPr>
                <w:ilvl w:val="0"/>
                <w:numId w:val="4"/>
              </w:numPr>
              <w:spacing w:before="120" w:after="120"/>
              <w:ind w:left="714" w:hanging="357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</w:pPr>
            <w:r w:rsidRPr="002553D4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val="en-GB"/>
              </w:rPr>
              <w:t>LCIA Arbitration.</w:t>
            </w:r>
            <w:r w:rsidR="00A33DDA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 xml:space="preserve"> R</w:t>
            </w:r>
            <w:r w:rsidRPr="005E3ECB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>epresenting a major Russian manufacturing holding in an arbitration dispute over investment banking services as part of a</w:t>
            </w:r>
            <w:r w:rsidR="00A33DDA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 xml:space="preserve"> major M&amp;A deal</w:t>
            </w:r>
            <w:r w:rsidRPr="005E3ECB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 xml:space="preserve">; </w:t>
            </w:r>
          </w:p>
          <w:p w14:paraId="132D8F47" w14:textId="22494068" w:rsidR="002553D4" w:rsidRPr="00247F0E" w:rsidRDefault="002553D4" w:rsidP="002553D4">
            <w:pPr>
              <w:pStyle w:val="a5"/>
              <w:numPr>
                <w:ilvl w:val="0"/>
                <w:numId w:val="4"/>
              </w:numPr>
              <w:spacing w:before="120" w:after="120"/>
              <w:ind w:left="714" w:hanging="357"/>
              <w:contextualSpacing w:val="0"/>
              <w:jc w:val="both"/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</w:pPr>
            <w:r w:rsidRPr="002553D4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val="en-GB"/>
              </w:rPr>
              <w:t>SCC Arbitration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 xml:space="preserve">. </w:t>
            </w:r>
            <w:r w:rsidR="00E366B2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>Successful r</w:t>
            </w:r>
            <w:r w:rsidRPr="005E3ECB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>epresent</w:t>
            </w:r>
            <w:r w:rsidR="00E366B2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 xml:space="preserve">ation of </w:t>
            </w:r>
            <w:r w:rsidRPr="005E3ECB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>a</w:t>
            </w:r>
            <w:r w:rsidR="00E366B2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 xml:space="preserve">n affiliate </w:t>
            </w:r>
            <w:r w:rsidRPr="005E3ECB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>of a major aluminium producer in a dispute arising out of a loan agreement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 xml:space="preserve">, protecting the client at the </w:t>
            </w:r>
            <w:r w:rsidRPr="005E3ECB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 xml:space="preserve">appeal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 xml:space="preserve">stage </w:t>
            </w:r>
            <w:r w:rsidRPr="005E3ECB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>in the Svea Court of Appeal and enforc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>ing</w:t>
            </w:r>
            <w:r w:rsidR="00A33DDA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 xml:space="preserve"> the award in Russia;</w:t>
            </w:r>
          </w:p>
          <w:p w14:paraId="1660296A" w14:textId="76654CCE" w:rsidR="00247F0E" w:rsidRPr="00E366B2" w:rsidRDefault="00247F0E" w:rsidP="00E366B2">
            <w:pPr>
              <w:pStyle w:val="a5"/>
              <w:numPr>
                <w:ilvl w:val="0"/>
                <w:numId w:val="4"/>
              </w:numPr>
              <w:spacing w:before="120" w:after="120"/>
              <w:ind w:left="714" w:hanging="357"/>
              <w:contextualSpacing w:val="0"/>
              <w:jc w:val="both"/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</w:pPr>
            <w:r w:rsidRPr="00E366B2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val="en-GB"/>
              </w:rPr>
              <w:t xml:space="preserve">Arbitration </w:t>
            </w:r>
            <w:r w:rsidR="009743AE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val="en-US"/>
              </w:rPr>
              <w:t xml:space="preserve">Rules </w:t>
            </w:r>
            <w:r w:rsidRPr="00E366B2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val="en-GB"/>
              </w:rPr>
              <w:t xml:space="preserve">of </w:t>
            </w:r>
            <w:bookmarkStart w:id="0" w:name="_GoBack"/>
            <w:bookmarkEnd w:id="0"/>
            <w:r w:rsidRPr="00E366B2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val="en-GB"/>
              </w:rPr>
              <w:t>St. Petersburg Chamber of Commerce and Industry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 xml:space="preserve">. </w:t>
            </w:r>
            <w:r w:rsidR="00E366B2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 xml:space="preserve">Successful representation of a Swiss steel scrap supplier in the arbitration, including enforcement of the award in </w:t>
            </w:r>
            <w:r w:rsidR="00A33DDA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>a state court;</w:t>
            </w:r>
          </w:p>
          <w:p w14:paraId="23C77FF0" w14:textId="28E57DB0" w:rsidR="0038166B" w:rsidRPr="00A33DDA" w:rsidRDefault="002553D4" w:rsidP="00211FFC">
            <w:pPr>
              <w:pStyle w:val="a5"/>
              <w:numPr>
                <w:ilvl w:val="0"/>
                <w:numId w:val="4"/>
              </w:numPr>
              <w:tabs>
                <w:tab w:val="left" w:pos="1970"/>
                <w:tab w:val="center" w:pos="4273"/>
                <w:tab w:val="right" w:pos="4836"/>
              </w:tabs>
              <w:spacing w:before="120" w:after="120"/>
              <w:ind w:left="714" w:hanging="357"/>
              <w:contextualSpacing w:val="0"/>
              <w:jc w:val="both"/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</w:pPr>
            <w:r w:rsidRPr="002553D4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val="en-GB"/>
              </w:rPr>
              <w:t>Cyprus and BVI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 xml:space="preserve">. </w:t>
            </w:r>
            <w:r w:rsidR="0038166B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>Advising</w:t>
            </w:r>
            <w:r w:rsidR="0038166B" w:rsidRPr="005E3ECB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 xml:space="preserve"> Russian shareholder of a r</w:t>
            </w:r>
            <w:r w:rsidR="0038166B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 xml:space="preserve">etail chain on protection of </w:t>
            </w:r>
            <w:r w:rsidR="00211FFC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>its</w:t>
            </w:r>
            <w:r w:rsidR="0038166B" w:rsidRPr="005E3ECB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 xml:space="preserve"> interest</w:t>
            </w:r>
            <w:r w:rsidR="0038166B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>s</w:t>
            </w:r>
            <w:r w:rsidR="0038166B" w:rsidRPr="005E3ECB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 xml:space="preserve"> in corporate conflict which required </w:t>
            </w:r>
            <w:r w:rsidR="0038166B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>solving a dead lock situation on Cyprus and BVI levels of shareholding by initiating compulsory winding-up procedures and appointing a receiver</w:t>
            </w:r>
            <w:r w:rsidR="00A33DDA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>.</w:t>
            </w:r>
          </w:p>
        </w:tc>
      </w:tr>
      <w:tr w:rsidR="0038166B" w:rsidRPr="00A33DDA" w14:paraId="138240B3" w14:textId="77777777" w:rsidTr="009668D4">
        <w:tc>
          <w:tcPr>
            <w:tcW w:w="1702" w:type="dxa"/>
          </w:tcPr>
          <w:p w14:paraId="5BB42808" w14:textId="77777777" w:rsidR="0038166B" w:rsidRPr="005E3ECB" w:rsidRDefault="0038166B" w:rsidP="0038166B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</w:p>
        </w:tc>
        <w:tc>
          <w:tcPr>
            <w:tcW w:w="6662" w:type="dxa"/>
          </w:tcPr>
          <w:p w14:paraId="2970B44B" w14:textId="728C60FB" w:rsidR="0038166B" w:rsidRPr="005E3ECB" w:rsidRDefault="0038166B" w:rsidP="0038166B">
            <w:pPr>
              <w:spacing w:before="120" w:after="120"/>
              <w:rPr>
                <w:rFonts w:ascii="Arial" w:eastAsia="Times New Roman" w:hAnsi="Arial" w:cs="Arial"/>
                <w:i/>
                <w:sz w:val="21"/>
                <w:szCs w:val="21"/>
                <w:lang w:val="en-GB" w:eastAsia="ru-RU"/>
              </w:rPr>
            </w:pPr>
            <w:r w:rsidRPr="005E3ECB">
              <w:rPr>
                <w:rFonts w:ascii="Arial" w:hAnsi="Arial" w:cs="Arial"/>
                <w:b/>
                <w:sz w:val="21"/>
                <w:szCs w:val="21"/>
                <w:lang w:val="en-GB"/>
              </w:rPr>
              <w:t>KIRKLAND &amp; ELLIS</w:t>
            </w:r>
            <w:r w:rsidRPr="005E3ECB">
              <w:rPr>
                <w:rFonts w:ascii="Arial" w:hAnsi="Arial" w:cs="Arial"/>
                <w:sz w:val="21"/>
                <w:szCs w:val="21"/>
                <w:lang w:val="en-GB"/>
              </w:rPr>
              <w:t>, New York</w:t>
            </w:r>
            <w:r w:rsidR="00A33DDA">
              <w:rPr>
                <w:rFonts w:ascii="Arial" w:hAnsi="Arial" w:cs="Arial"/>
                <w:sz w:val="21"/>
                <w:szCs w:val="21"/>
                <w:lang w:val="en-GB"/>
              </w:rPr>
              <w:t xml:space="preserve">, </w:t>
            </w:r>
            <w:hyperlink r:id="rId10" w:history="1">
              <w:r w:rsidR="00A33DDA" w:rsidRPr="005E3ECB">
                <w:rPr>
                  <w:rStyle w:val="a3"/>
                  <w:rFonts w:ascii="Arial" w:hAnsi="Arial" w:cs="Arial"/>
                  <w:sz w:val="21"/>
                  <w:szCs w:val="21"/>
                  <w:lang w:val="en-GB"/>
                </w:rPr>
                <w:t>www.</w:t>
              </w:r>
              <w:r w:rsidR="00A33DDA" w:rsidRPr="005E3ECB">
                <w:rPr>
                  <w:rStyle w:val="a3"/>
                  <w:rFonts w:ascii="Arial" w:eastAsia="Times New Roman" w:hAnsi="Arial" w:cs="Arial"/>
                  <w:sz w:val="21"/>
                  <w:szCs w:val="21"/>
                  <w:lang w:val="en-GB" w:eastAsia="ru-RU"/>
                </w:rPr>
                <w:t>kirkland</w:t>
              </w:r>
              <w:r w:rsidR="00A33DDA" w:rsidRPr="005E3ECB">
                <w:rPr>
                  <w:rStyle w:val="a3"/>
                  <w:rFonts w:ascii="Arial" w:hAnsi="Arial" w:cs="Arial"/>
                  <w:sz w:val="21"/>
                  <w:szCs w:val="21"/>
                  <w:lang w:val="en-GB"/>
                </w:rPr>
                <w:t>.com</w:t>
              </w:r>
            </w:hyperlink>
            <w:r w:rsidRPr="005E3ECB">
              <w:rPr>
                <w:rFonts w:ascii="Arial" w:eastAsia="Times New Roman" w:hAnsi="Arial" w:cs="Arial"/>
                <w:i/>
                <w:sz w:val="21"/>
                <w:szCs w:val="21"/>
                <w:lang w:val="en-GB" w:eastAsia="ru-RU"/>
              </w:rPr>
              <w:t xml:space="preserve"> </w:t>
            </w:r>
          </w:p>
          <w:p w14:paraId="63C15E9C" w14:textId="77777777" w:rsidR="0038166B" w:rsidRPr="005E3ECB" w:rsidRDefault="0038166B" w:rsidP="0038166B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5E3ECB">
              <w:rPr>
                <w:rFonts w:ascii="Arial" w:eastAsia="Times New Roman" w:hAnsi="Arial" w:cs="Arial"/>
                <w:i/>
                <w:sz w:val="21"/>
                <w:szCs w:val="21"/>
                <w:lang w:val="en-GB" w:eastAsia="ru-RU"/>
              </w:rPr>
              <w:t>Foreign Associate (Secondment)</w:t>
            </w:r>
          </w:p>
        </w:tc>
        <w:tc>
          <w:tcPr>
            <w:tcW w:w="1559" w:type="dxa"/>
          </w:tcPr>
          <w:p w14:paraId="0C577DD0" w14:textId="77777777" w:rsidR="0038166B" w:rsidRPr="005E3ECB" w:rsidRDefault="0038166B" w:rsidP="0038166B">
            <w:pPr>
              <w:spacing w:before="120" w:after="120"/>
              <w:ind w:left="-108"/>
              <w:jc w:val="right"/>
              <w:textAlignment w:val="top"/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</w:pPr>
            <w:r w:rsidRPr="005E3ECB"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  <w:t>2013 - 2014</w:t>
            </w:r>
          </w:p>
        </w:tc>
      </w:tr>
      <w:tr w:rsidR="0038166B" w:rsidRPr="009743AE" w14:paraId="0ADAF9C4" w14:textId="77777777" w:rsidTr="009668D4">
        <w:tc>
          <w:tcPr>
            <w:tcW w:w="1702" w:type="dxa"/>
          </w:tcPr>
          <w:p w14:paraId="06F8C5FB" w14:textId="77777777" w:rsidR="0038166B" w:rsidRPr="005E3ECB" w:rsidRDefault="0038166B" w:rsidP="0038166B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</w:p>
        </w:tc>
        <w:tc>
          <w:tcPr>
            <w:tcW w:w="8221" w:type="dxa"/>
            <w:gridSpan w:val="2"/>
          </w:tcPr>
          <w:p w14:paraId="10CFF572" w14:textId="44CDAE93" w:rsidR="0038166B" w:rsidRPr="005E3ECB" w:rsidRDefault="0038166B" w:rsidP="0038166B">
            <w:pPr>
              <w:spacing w:before="120" w:after="120"/>
              <w:textAlignment w:val="top"/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</w:pPr>
            <w:r w:rsidRPr="005E3ECB"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  <w:t xml:space="preserve">Working </w:t>
            </w:r>
            <w:r w:rsidR="00E366B2"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  <w:t>on</w:t>
            </w:r>
            <w:r w:rsidRPr="005E3ECB"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  <w:t xml:space="preserve"> </w:t>
            </w:r>
            <w:r w:rsidR="00E366B2"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  <w:t>M&amp;A</w:t>
            </w:r>
            <w:r w:rsidRPr="005E3ECB"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  <w:t xml:space="preserve"> and corporate litigation </w:t>
            </w:r>
            <w:r w:rsidR="00E366B2"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  <w:t>matters</w:t>
            </w:r>
            <w:r w:rsidRPr="005E3ECB"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  <w:t>:</w:t>
            </w:r>
          </w:p>
          <w:p w14:paraId="71ABCA2E" w14:textId="79B64075" w:rsidR="005E10B9" w:rsidRDefault="0038166B" w:rsidP="005E10B9">
            <w:pPr>
              <w:pStyle w:val="a5"/>
              <w:numPr>
                <w:ilvl w:val="0"/>
                <w:numId w:val="4"/>
              </w:numPr>
              <w:spacing w:before="120" w:after="120"/>
              <w:ind w:left="345" w:hanging="284"/>
              <w:contextualSpacing w:val="0"/>
              <w:jc w:val="both"/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  <w:t>Legal support of</w:t>
            </w:r>
            <w:r w:rsidRPr="005E3ECB"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  <w:t xml:space="preserve"> M&amp;A deals</w:t>
            </w:r>
            <w:r w:rsidR="00A33DDA"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  <w:t xml:space="preserve">: </w:t>
            </w:r>
            <w:r w:rsidRPr="005E3ECB"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  <w:t xml:space="preserve">due diligence, drafting </w:t>
            </w:r>
            <w:r w:rsidR="00A33DDA"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  <w:t>transaction</w:t>
            </w:r>
            <w:r w:rsidRPr="005E3ECB"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  <w:t xml:space="preserve"> documents, developing restructuring schemes, </w:t>
            </w:r>
            <w:r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  <w:t xml:space="preserve">participating in negotiations with </w:t>
            </w:r>
            <w:r w:rsidR="008B02AC"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  <w:t>counterparties</w:t>
            </w:r>
            <w:r w:rsidR="00A33DDA"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  <w:t>.</w:t>
            </w:r>
          </w:p>
          <w:p w14:paraId="655AB2B3" w14:textId="6DF95C69" w:rsidR="0038166B" w:rsidRPr="005E10B9" w:rsidRDefault="005E10B9" w:rsidP="005E10B9">
            <w:pPr>
              <w:pStyle w:val="a5"/>
              <w:spacing w:before="120" w:after="120"/>
              <w:ind w:left="345"/>
              <w:contextualSpacing w:val="0"/>
              <w:jc w:val="both"/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</w:pPr>
            <w:r>
              <w:rPr>
                <w:rFonts w:ascii="Arial" w:eastAsia="Times New Roman" w:hAnsi="Arial" w:cs="Arial"/>
                <w:i/>
                <w:sz w:val="21"/>
                <w:szCs w:val="21"/>
                <w:lang w:val="en-GB" w:eastAsia="ru-RU"/>
              </w:rPr>
              <w:t>D</w:t>
            </w:r>
            <w:r w:rsidR="0038166B" w:rsidRPr="005E10B9">
              <w:rPr>
                <w:rFonts w:ascii="Arial" w:eastAsia="Times New Roman" w:hAnsi="Arial" w:cs="Arial"/>
                <w:i/>
                <w:sz w:val="21"/>
                <w:szCs w:val="21"/>
                <w:lang w:val="en-GB" w:eastAsia="ru-RU"/>
              </w:rPr>
              <w:t xml:space="preserve">isclosed </w:t>
            </w:r>
            <w:r w:rsidRPr="005E10B9">
              <w:rPr>
                <w:rFonts w:ascii="Arial" w:eastAsia="Times New Roman" w:hAnsi="Arial" w:cs="Arial"/>
                <w:i/>
                <w:sz w:val="21"/>
                <w:szCs w:val="21"/>
                <w:lang w:val="en-GB" w:eastAsia="ru-RU"/>
              </w:rPr>
              <w:t>example - a</w:t>
            </w:r>
            <w:r w:rsidR="0038166B" w:rsidRPr="005E10B9">
              <w:rPr>
                <w:rFonts w:ascii="Arial" w:eastAsia="Times New Roman" w:hAnsi="Arial" w:cs="Arial"/>
                <w:i/>
                <w:sz w:val="21"/>
                <w:szCs w:val="21"/>
                <w:lang w:val="en-GB" w:eastAsia="ru-RU"/>
              </w:rPr>
              <w:t xml:space="preserve">cquisition </w:t>
            </w:r>
            <w:r w:rsidRPr="005E10B9">
              <w:rPr>
                <w:rFonts w:ascii="Arial" w:eastAsia="Times New Roman" w:hAnsi="Arial" w:cs="Arial"/>
                <w:i/>
                <w:sz w:val="21"/>
                <w:szCs w:val="21"/>
                <w:lang w:val="en-GB" w:eastAsia="ru-RU"/>
              </w:rPr>
              <w:t xml:space="preserve">of a </w:t>
            </w:r>
            <w:r w:rsidR="0038166B" w:rsidRPr="005E10B9">
              <w:rPr>
                <w:rFonts w:ascii="Arial" w:eastAsia="Times New Roman" w:hAnsi="Arial" w:cs="Arial"/>
                <w:i/>
                <w:sz w:val="21"/>
                <w:szCs w:val="21"/>
                <w:lang w:val="en-GB" w:eastAsia="ru-RU"/>
              </w:rPr>
              <w:t xml:space="preserve">major </w:t>
            </w:r>
            <w:r>
              <w:rPr>
                <w:rFonts w:ascii="Arial" w:eastAsia="Times New Roman" w:hAnsi="Arial" w:cs="Arial"/>
                <w:i/>
                <w:sz w:val="21"/>
                <w:szCs w:val="21"/>
                <w:lang w:val="en-GB" w:eastAsia="ru-RU"/>
              </w:rPr>
              <w:t>American</w:t>
            </w:r>
            <w:r w:rsidR="0038166B" w:rsidRPr="005E10B9">
              <w:rPr>
                <w:rFonts w:ascii="Arial" w:eastAsia="Times New Roman" w:hAnsi="Arial" w:cs="Arial"/>
                <w:i/>
                <w:sz w:val="21"/>
                <w:szCs w:val="21"/>
                <w:lang w:val="en-GB" w:eastAsia="ru-RU"/>
              </w:rPr>
              <w:t xml:space="preserve"> provider of IT infr</w:t>
            </w:r>
            <w:r>
              <w:rPr>
                <w:rFonts w:ascii="Arial" w:eastAsia="Times New Roman" w:hAnsi="Arial" w:cs="Arial"/>
                <w:i/>
                <w:sz w:val="21"/>
                <w:szCs w:val="21"/>
                <w:lang w:val="en-GB" w:eastAsia="ru-RU"/>
              </w:rPr>
              <w:t xml:space="preserve">astructure: </w:t>
            </w:r>
            <w:hyperlink r:id="rId11" w:history="1">
              <w:r w:rsidRPr="005E10B9">
                <w:rPr>
                  <w:rStyle w:val="a3"/>
                  <w:rFonts w:ascii="Arial" w:eastAsia="Times New Roman" w:hAnsi="Arial" w:cs="Arial"/>
                  <w:i/>
                  <w:sz w:val="21"/>
                  <w:szCs w:val="21"/>
                  <w:lang w:val="en-GB" w:eastAsia="ru-RU"/>
                </w:rPr>
                <w:t>https://www.datacenterknowledge.com/archives/2014/05/12/confirmed-peak-10-acquired-gi-partners</w:t>
              </w:r>
            </w:hyperlink>
            <w:r w:rsidRPr="005E10B9">
              <w:rPr>
                <w:rFonts w:ascii="Arial" w:eastAsia="Times New Roman" w:hAnsi="Arial" w:cs="Arial"/>
                <w:i/>
                <w:sz w:val="21"/>
                <w:szCs w:val="21"/>
                <w:lang w:val="en-GB" w:eastAsia="ru-RU"/>
              </w:rPr>
              <w:t xml:space="preserve"> </w:t>
            </w:r>
          </w:p>
          <w:p w14:paraId="3554A216" w14:textId="1BF7E03B" w:rsidR="0038166B" w:rsidRPr="00A33DDA" w:rsidRDefault="005E10B9" w:rsidP="00A33DDA">
            <w:pPr>
              <w:pStyle w:val="a5"/>
              <w:numPr>
                <w:ilvl w:val="0"/>
                <w:numId w:val="4"/>
              </w:numPr>
              <w:spacing w:before="120" w:after="120"/>
              <w:ind w:left="345" w:hanging="284"/>
              <w:contextualSpacing w:val="0"/>
              <w:jc w:val="both"/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  <w:t>Legal support</w:t>
            </w:r>
            <w:r w:rsidR="0038166B" w:rsidRPr="005E3ECB"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  <w:t xml:space="preserve">of corporate litigation team: </w:t>
            </w:r>
            <w:r w:rsidR="008B02AC"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  <w:t>investigating factual evidence</w:t>
            </w:r>
            <w:r w:rsidR="0038166B" w:rsidRPr="005E3ECB"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  <w:t>, performing case law researches and analysis.</w:t>
            </w:r>
          </w:p>
        </w:tc>
      </w:tr>
      <w:tr w:rsidR="0038166B" w:rsidRPr="005E3ECB" w14:paraId="378A42A2" w14:textId="77777777" w:rsidTr="009668D4">
        <w:tc>
          <w:tcPr>
            <w:tcW w:w="1702" w:type="dxa"/>
          </w:tcPr>
          <w:p w14:paraId="417FFD4A" w14:textId="77777777" w:rsidR="0038166B" w:rsidRPr="005E3ECB" w:rsidRDefault="0038166B" w:rsidP="0038166B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5E3ECB">
              <w:rPr>
                <w:rFonts w:ascii="Arial" w:hAnsi="Arial" w:cs="Arial"/>
                <w:b/>
                <w:sz w:val="21"/>
                <w:szCs w:val="21"/>
                <w:lang w:val="en-GB"/>
              </w:rPr>
              <w:t>EDUCATION</w:t>
            </w:r>
          </w:p>
        </w:tc>
        <w:tc>
          <w:tcPr>
            <w:tcW w:w="6662" w:type="dxa"/>
          </w:tcPr>
          <w:p w14:paraId="6624E5B5" w14:textId="18E89CBF" w:rsidR="0038166B" w:rsidRPr="005E3ECB" w:rsidRDefault="0038166B" w:rsidP="008B02AC">
            <w:pPr>
              <w:spacing w:before="120" w:after="120"/>
              <w:textAlignment w:val="top"/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</w:pPr>
            <w:r w:rsidRPr="005E3ECB">
              <w:rPr>
                <w:rFonts w:ascii="Arial" w:eastAsia="Times New Roman" w:hAnsi="Arial" w:cs="Arial"/>
                <w:b/>
                <w:sz w:val="21"/>
                <w:szCs w:val="21"/>
                <w:lang w:val="en-GB" w:eastAsia="ru-RU"/>
              </w:rPr>
              <w:t xml:space="preserve">SAINT-PETERSBURG STATE UNIVERSITY,  </w:t>
            </w:r>
            <w:r w:rsidRPr="005E3ECB">
              <w:rPr>
                <w:rFonts w:ascii="Arial" w:hAnsi="Arial" w:cs="Arial"/>
                <w:sz w:val="21"/>
                <w:szCs w:val="21"/>
                <w:lang w:val="en-GB"/>
              </w:rPr>
              <w:t>Law Faculty (Master’s Degre</w:t>
            </w:r>
            <w:r w:rsidR="008B02AC">
              <w:rPr>
                <w:rFonts w:ascii="Arial" w:hAnsi="Arial" w:cs="Arial"/>
                <w:sz w:val="21"/>
                <w:szCs w:val="21"/>
                <w:lang w:val="en-GB"/>
              </w:rPr>
              <w:t>e in Litigation and Arbitration</w:t>
            </w:r>
            <w:r w:rsidRPr="005E3ECB"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  <w:t>)</w:t>
            </w:r>
          </w:p>
        </w:tc>
        <w:tc>
          <w:tcPr>
            <w:tcW w:w="1559" w:type="dxa"/>
          </w:tcPr>
          <w:p w14:paraId="308D4B30" w14:textId="77777777" w:rsidR="0038166B" w:rsidRPr="005E3ECB" w:rsidRDefault="0038166B" w:rsidP="0038166B">
            <w:pPr>
              <w:spacing w:before="120" w:after="120"/>
              <w:ind w:left="-108"/>
              <w:jc w:val="right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5E3ECB"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  <w:t>2004 - 2010</w:t>
            </w:r>
          </w:p>
        </w:tc>
      </w:tr>
      <w:tr w:rsidR="0038166B" w:rsidRPr="005E3ECB" w14:paraId="0C67B407" w14:textId="77777777" w:rsidTr="009668D4">
        <w:tc>
          <w:tcPr>
            <w:tcW w:w="1702" w:type="dxa"/>
          </w:tcPr>
          <w:p w14:paraId="4E2B24A8" w14:textId="77777777" w:rsidR="0038166B" w:rsidRPr="005E3ECB" w:rsidRDefault="0038166B" w:rsidP="0038166B">
            <w:pPr>
              <w:spacing w:before="120" w:after="120"/>
              <w:textAlignment w:val="top"/>
              <w:rPr>
                <w:rFonts w:ascii="Arial" w:eastAsia="Times New Roman" w:hAnsi="Arial" w:cs="Arial"/>
                <w:b/>
                <w:sz w:val="21"/>
                <w:szCs w:val="21"/>
                <w:lang w:val="en-GB" w:eastAsia="ru-RU"/>
              </w:rPr>
            </w:pPr>
          </w:p>
        </w:tc>
        <w:tc>
          <w:tcPr>
            <w:tcW w:w="6662" w:type="dxa"/>
          </w:tcPr>
          <w:p w14:paraId="682A18C5" w14:textId="5695AA01" w:rsidR="0038166B" w:rsidRPr="005E3ECB" w:rsidRDefault="0038166B" w:rsidP="00765FCD">
            <w:pPr>
              <w:spacing w:before="120" w:after="120"/>
              <w:textAlignment w:val="top"/>
              <w:rPr>
                <w:rFonts w:ascii="Arial" w:eastAsia="Times New Roman" w:hAnsi="Arial" w:cs="Arial"/>
                <w:b/>
                <w:sz w:val="21"/>
                <w:szCs w:val="21"/>
                <w:lang w:val="en-GB" w:eastAsia="ru-RU"/>
              </w:rPr>
            </w:pPr>
            <w:r w:rsidRPr="005E3ECB">
              <w:rPr>
                <w:rFonts w:ascii="Arial" w:eastAsia="Times New Roman" w:hAnsi="Arial" w:cs="Arial"/>
                <w:b/>
                <w:sz w:val="21"/>
                <w:szCs w:val="21"/>
                <w:lang w:val="en-GB" w:eastAsia="ru-RU"/>
              </w:rPr>
              <w:t xml:space="preserve">SAINT-PETERSBURG STATE UNIVERSITY,  </w:t>
            </w:r>
            <w:r w:rsidR="00765FCD"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  <w:t xml:space="preserve">Philology Faculty </w:t>
            </w:r>
            <w:r w:rsidRPr="005E3ECB"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  <w:t>(</w:t>
            </w:r>
            <w:r w:rsidR="00765FCD"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  <w:t xml:space="preserve">Qualification - </w:t>
            </w:r>
            <w:r w:rsidR="008B02AC"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  <w:t>Interpreter</w:t>
            </w:r>
            <w:r w:rsidR="00765FCD"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  <w:t xml:space="preserve"> of English Language</w:t>
            </w:r>
            <w:r w:rsidRPr="005E3ECB"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  <w:t xml:space="preserve"> in the Field of Professional Communication)</w:t>
            </w:r>
          </w:p>
        </w:tc>
        <w:tc>
          <w:tcPr>
            <w:tcW w:w="1559" w:type="dxa"/>
          </w:tcPr>
          <w:p w14:paraId="3205324E" w14:textId="77777777" w:rsidR="0038166B" w:rsidRPr="005E3ECB" w:rsidRDefault="0038166B" w:rsidP="0038166B">
            <w:pPr>
              <w:spacing w:before="120" w:after="120"/>
              <w:ind w:left="-108"/>
              <w:jc w:val="right"/>
              <w:textAlignment w:val="top"/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</w:pPr>
            <w:r w:rsidRPr="005E3ECB"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  <w:t>2008 - 2010</w:t>
            </w:r>
          </w:p>
        </w:tc>
      </w:tr>
      <w:tr w:rsidR="0038166B" w:rsidRPr="005E3ECB" w14:paraId="415ADF33" w14:textId="77777777" w:rsidTr="006C7164">
        <w:trPr>
          <w:trHeight w:val="725"/>
        </w:trPr>
        <w:tc>
          <w:tcPr>
            <w:tcW w:w="1702" w:type="dxa"/>
          </w:tcPr>
          <w:p w14:paraId="01723448" w14:textId="77777777" w:rsidR="0038166B" w:rsidRPr="005E3ECB" w:rsidRDefault="0038166B" w:rsidP="0038166B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5E3ECB">
              <w:rPr>
                <w:rFonts w:ascii="Arial" w:hAnsi="Arial" w:cs="Arial"/>
                <w:b/>
                <w:sz w:val="21"/>
                <w:szCs w:val="21"/>
                <w:lang w:val="en-GB"/>
              </w:rPr>
              <w:t>BAR</w:t>
            </w:r>
          </w:p>
        </w:tc>
        <w:tc>
          <w:tcPr>
            <w:tcW w:w="6662" w:type="dxa"/>
          </w:tcPr>
          <w:p w14:paraId="154C696D" w14:textId="65A3E6B8" w:rsidR="0038166B" w:rsidRPr="005E3ECB" w:rsidRDefault="0038166B" w:rsidP="006C7164">
            <w:pPr>
              <w:spacing w:before="120" w:after="120"/>
              <w:textAlignment w:val="top"/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From 2011 to 2016 member of </w:t>
            </w:r>
            <w:r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  <w:t xml:space="preserve">the Saint-Petersburg City Bar. </w:t>
            </w:r>
            <w:r w:rsidR="008B02AC"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  <w:t xml:space="preserve">The “advocate” status </w:t>
            </w:r>
            <w:r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  <w:t>terminated due to</w:t>
            </w:r>
            <w:r w:rsidR="008B02AC"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  <w:t xml:space="preserve"> </w:t>
            </w:r>
            <w:r w:rsidR="006C7164"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  <w:t>a</w:t>
            </w:r>
            <w:r w:rsidR="008B02AC"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  <w:t xml:space="preserve"> </w:t>
            </w:r>
            <w:r w:rsidR="006C7164"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  <w:t>statutory</w:t>
            </w:r>
            <w:r w:rsidR="008B02AC"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  <w:t xml:space="preserve"> requirement</w:t>
            </w:r>
            <w:r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  <w:t xml:space="preserve"> to </w:t>
            </w:r>
            <w:r w:rsidR="008B02AC"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  <w:t>cancel</w:t>
            </w:r>
            <w:r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  <w:t xml:space="preserve"> </w:t>
            </w:r>
            <w:r w:rsidR="008B02AC"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  <w:t>membership</w:t>
            </w:r>
            <w:r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  <w:t xml:space="preserve"> while transferring to</w:t>
            </w:r>
            <w:r w:rsidR="005E10B9"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  <w:t xml:space="preserve"> an</w:t>
            </w:r>
            <w:r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  <w:t xml:space="preserve"> </w:t>
            </w:r>
            <w:r w:rsidR="008B02AC"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  <w:t>in-house role</w:t>
            </w:r>
            <w:r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  <w:t xml:space="preserve">. </w:t>
            </w:r>
          </w:p>
        </w:tc>
        <w:tc>
          <w:tcPr>
            <w:tcW w:w="1559" w:type="dxa"/>
          </w:tcPr>
          <w:p w14:paraId="2F754813" w14:textId="24B64629" w:rsidR="0038166B" w:rsidRPr="005E3ECB" w:rsidRDefault="0038166B" w:rsidP="0038166B">
            <w:pPr>
              <w:spacing w:before="120" w:after="120"/>
              <w:ind w:left="-108"/>
              <w:jc w:val="right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5E3ECB">
              <w:rPr>
                <w:rFonts w:ascii="Arial" w:hAnsi="Arial" w:cs="Arial"/>
                <w:sz w:val="21"/>
                <w:szCs w:val="21"/>
                <w:lang w:val="en-GB"/>
              </w:rPr>
              <w:t>2011</w:t>
            </w:r>
            <w:r w:rsidR="006C7164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r w:rsidR="005E10B9">
              <w:rPr>
                <w:rFonts w:ascii="Arial" w:hAnsi="Arial" w:cs="Arial"/>
                <w:sz w:val="21"/>
                <w:szCs w:val="21"/>
                <w:lang w:val="en-GB"/>
              </w:rPr>
              <w:t>-</w:t>
            </w:r>
            <w:r w:rsidR="006C7164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r w:rsidR="005E10B9">
              <w:rPr>
                <w:rFonts w:ascii="Arial" w:hAnsi="Arial" w:cs="Arial"/>
                <w:sz w:val="21"/>
                <w:szCs w:val="21"/>
                <w:lang w:val="en-GB"/>
              </w:rPr>
              <w:t>2016</w:t>
            </w:r>
          </w:p>
        </w:tc>
      </w:tr>
      <w:tr w:rsidR="0038166B" w:rsidRPr="00247F0E" w14:paraId="63822F53" w14:textId="77777777" w:rsidTr="009668D4">
        <w:tc>
          <w:tcPr>
            <w:tcW w:w="1702" w:type="dxa"/>
          </w:tcPr>
          <w:p w14:paraId="56318500" w14:textId="5DCDD907" w:rsidR="0038166B" w:rsidRPr="005E3ECB" w:rsidRDefault="0038166B" w:rsidP="0038166B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FOREIGN </w:t>
            </w:r>
            <w:r w:rsidRPr="005E3ECB">
              <w:rPr>
                <w:rFonts w:ascii="Arial" w:hAnsi="Arial" w:cs="Arial"/>
                <w:b/>
                <w:sz w:val="21"/>
                <w:szCs w:val="21"/>
                <w:lang w:val="en-GB"/>
              </w:rPr>
              <w:t>LANGUAGES</w:t>
            </w:r>
          </w:p>
        </w:tc>
        <w:tc>
          <w:tcPr>
            <w:tcW w:w="6662" w:type="dxa"/>
          </w:tcPr>
          <w:p w14:paraId="44C82E83" w14:textId="143200A8" w:rsidR="0038166B" w:rsidRPr="005E3ECB" w:rsidRDefault="0038166B" w:rsidP="00765FCD">
            <w:pPr>
              <w:spacing w:before="120" w:after="360"/>
              <w:textAlignment w:val="top"/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</w:pPr>
            <w:r w:rsidRPr="005E3ECB"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  <w:t>English (</w:t>
            </w:r>
            <w:r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  <w:t>fluent</w:t>
            </w:r>
            <w:r w:rsidR="00765FCD">
              <w:rPr>
                <w:rFonts w:ascii="Arial" w:eastAsia="Times New Roman" w:hAnsi="Arial" w:cs="Arial"/>
                <w:sz w:val="21"/>
                <w:szCs w:val="21"/>
                <w:lang w:val="en-GB" w:eastAsia="ru-RU"/>
              </w:rPr>
              <w:t>)</w:t>
            </w:r>
          </w:p>
        </w:tc>
        <w:tc>
          <w:tcPr>
            <w:tcW w:w="1559" w:type="dxa"/>
          </w:tcPr>
          <w:p w14:paraId="4EAD2571" w14:textId="77777777" w:rsidR="0038166B" w:rsidRPr="005E3ECB" w:rsidRDefault="0038166B" w:rsidP="0038166B">
            <w:pPr>
              <w:spacing w:before="120" w:after="120"/>
              <w:ind w:left="-108"/>
              <w:jc w:val="righ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</w:tbl>
    <w:p w14:paraId="5A79D392" w14:textId="77777777" w:rsidR="00CF6008" w:rsidRPr="00211FFC" w:rsidRDefault="00CF6008" w:rsidP="00E366B2">
      <w:pPr>
        <w:rPr>
          <w:lang w:val="en-US"/>
        </w:rPr>
      </w:pPr>
    </w:p>
    <w:sectPr w:rsidR="00CF6008" w:rsidRPr="00211FFC" w:rsidSect="00301F6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56824" w14:textId="77777777" w:rsidR="008E1C09" w:rsidRDefault="008E1C09" w:rsidP="00301F65">
      <w:pPr>
        <w:spacing w:after="0" w:line="240" w:lineRule="auto"/>
      </w:pPr>
      <w:r>
        <w:separator/>
      </w:r>
    </w:p>
  </w:endnote>
  <w:endnote w:type="continuationSeparator" w:id="0">
    <w:p w14:paraId="72A7AF48" w14:textId="77777777" w:rsidR="008E1C09" w:rsidRDefault="008E1C09" w:rsidP="0030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1B5FB" w14:textId="77777777" w:rsidR="008E1C09" w:rsidRDefault="008E1C09" w:rsidP="00301F65">
      <w:pPr>
        <w:spacing w:after="0" w:line="240" w:lineRule="auto"/>
      </w:pPr>
      <w:r>
        <w:separator/>
      </w:r>
    </w:p>
  </w:footnote>
  <w:footnote w:type="continuationSeparator" w:id="0">
    <w:p w14:paraId="16AE2171" w14:textId="77777777" w:rsidR="008E1C09" w:rsidRDefault="008E1C09" w:rsidP="00301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E2B50"/>
    <w:multiLevelType w:val="hybridMultilevel"/>
    <w:tmpl w:val="C720A4FC"/>
    <w:lvl w:ilvl="0" w:tplc="7506CCC6">
      <w:start w:val="44"/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8485B"/>
    <w:multiLevelType w:val="hybridMultilevel"/>
    <w:tmpl w:val="3E28F472"/>
    <w:lvl w:ilvl="0" w:tplc="5944D7A4">
      <w:start w:val="2008"/>
      <w:numFmt w:val="decimal"/>
      <w:lvlText w:val="%1"/>
      <w:lvlJc w:val="left"/>
      <w:pPr>
        <w:ind w:left="3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645E3266"/>
    <w:multiLevelType w:val="hybridMultilevel"/>
    <w:tmpl w:val="4268F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60F16"/>
    <w:multiLevelType w:val="hybridMultilevel"/>
    <w:tmpl w:val="5C4E7BFC"/>
    <w:lvl w:ilvl="0" w:tplc="7506CCC6">
      <w:start w:val="44"/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771E9"/>
    <w:multiLevelType w:val="hybridMultilevel"/>
    <w:tmpl w:val="A55AF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2548B"/>
    <w:multiLevelType w:val="hybridMultilevel"/>
    <w:tmpl w:val="1D9E8422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08"/>
    <w:rsid w:val="00004AA5"/>
    <w:rsid w:val="00047561"/>
    <w:rsid w:val="0006127D"/>
    <w:rsid w:val="000D0D0C"/>
    <w:rsid w:val="000D5DCF"/>
    <w:rsid w:val="000F3B82"/>
    <w:rsid w:val="001106DA"/>
    <w:rsid w:val="001A3C85"/>
    <w:rsid w:val="001D29C5"/>
    <w:rsid w:val="00200B8F"/>
    <w:rsid w:val="00205DAF"/>
    <w:rsid w:val="00211FFC"/>
    <w:rsid w:val="0024219D"/>
    <w:rsid w:val="00247F0E"/>
    <w:rsid w:val="0025532C"/>
    <w:rsid w:val="002553D4"/>
    <w:rsid w:val="00282C70"/>
    <w:rsid w:val="002920D6"/>
    <w:rsid w:val="002A1B9A"/>
    <w:rsid w:val="002B30C6"/>
    <w:rsid w:val="002D7C9E"/>
    <w:rsid w:val="002E7E43"/>
    <w:rsid w:val="002F4C33"/>
    <w:rsid w:val="00301F65"/>
    <w:rsid w:val="0038166B"/>
    <w:rsid w:val="0038377C"/>
    <w:rsid w:val="003B5158"/>
    <w:rsid w:val="003D12E7"/>
    <w:rsid w:val="003E3684"/>
    <w:rsid w:val="003E7B16"/>
    <w:rsid w:val="004064E4"/>
    <w:rsid w:val="00412E52"/>
    <w:rsid w:val="00430DA2"/>
    <w:rsid w:val="004736DA"/>
    <w:rsid w:val="00473B0F"/>
    <w:rsid w:val="00494680"/>
    <w:rsid w:val="004F4A2E"/>
    <w:rsid w:val="00527216"/>
    <w:rsid w:val="005341AA"/>
    <w:rsid w:val="00553015"/>
    <w:rsid w:val="00554242"/>
    <w:rsid w:val="005C4EAA"/>
    <w:rsid w:val="005C666E"/>
    <w:rsid w:val="005E10B9"/>
    <w:rsid w:val="005E3ECB"/>
    <w:rsid w:val="005F3722"/>
    <w:rsid w:val="00654040"/>
    <w:rsid w:val="006772D0"/>
    <w:rsid w:val="0067799B"/>
    <w:rsid w:val="00681567"/>
    <w:rsid w:val="00681813"/>
    <w:rsid w:val="0068382D"/>
    <w:rsid w:val="0069355F"/>
    <w:rsid w:val="0069477B"/>
    <w:rsid w:val="006A71F2"/>
    <w:rsid w:val="006B2934"/>
    <w:rsid w:val="006C24D3"/>
    <w:rsid w:val="006C7164"/>
    <w:rsid w:val="006E1904"/>
    <w:rsid w:val="006F1E10"/>
    <w:rsid w:val="00703863"/>
    <w:rsid w:val="0072628F"/>
    <w:rsid w:val="00765FCD"/>
    <w:rsid w:val="00772812"/>
    <w:rsid w:val="007A56CC"/>
    <w:rsid w:val="007B2AD0"/>
    <w:rsid w:val="007B2DAF"/>
    <w:rsid w:val="00821E13"/>
    <w:rsid w:val="00831408"/>
    <w:rsid w:val="00847CAC"/>
    <w:rsid w:val="00861836"/>
    <w:rsid w:val="00866AD9"/>
    <w:rsid w:val="0088671D"/>
    <w:rsid w:val="008B02AC"/>
    <w:rsid w:val="008D0D3B"/>
    <w:rsid w:val="008D0F69"/>
    <w:rsid w:val="008D795A"/>
    <w:rsid w:val="008E1C09"/>
    <w:rsid w:val="008F195E"/>
    <w:rsid w:val="008F3E0A"/>
    <w:rsid w:val="00912514"/>
    <w:rsid w:val="00946C9B"/>
    <w:rsid w:val="009545A7"/>
    <w:rsid w:val="00962B3A"/>
    <w:rsid w:val="009668D4"/>
    <w:rsid w:val="00966A45"/>
    <w:rsid w:val="009743AE"/>
    <w:rsid w:val="00976130"/>
    <w:rsid w:val="00981A5D"/>
    <w:rsid w:val="009862B2"/>
    <w:rsid w:val="009B46FF"/>
    <w:rsid w:val="009C039E"/>
    <w:rsid w:val="009C1E03"/>
    <w:rsid w:val="009E08D6"/>
    <w:rsid w:val="009F09B6"/>
    <w:rsid w:val="00A33DDA"/>
    <w:rsid w:val="00A35CA6"/>
    <w:rsid w:val="00A66A9D"/>
    <w:rsid w:val="00A9603F"/>
    <w:rsid w:val="00AB5D99"/>
    <w:rsid w:val="00AD2818"/>
    <w:rsid w:val="00AE0EAD"/>
    <w:rsid w:val="00AE365A"/>
    <w:rsid w:val="00AF08E3"/>
    <w:rsid w:val="00B47448"/>
    <w:rsid w:val="00B522FD"/>
    <w:rsid w:val="00B878C6"/>
    <w:rsid w:val="00BB256C"/>
    <w:rsid w:val="00BC1CD0"/>
    <w:rsid w:val="00BD1DFB"/>
    <w:rsid w:val="00BE0C74"/>
    <w:rsid w:val="00C4376C"/>
    <w:rsid w:val="00C95A43"/>
    <w:rsid w:val="00CB117E"/>
    <w:rsid w:val="00CB501F"/>
    <w:rsid w:val="00CB724B"/>
    <w:rsid w:val="00CD7B85"/>
    <w:rsid w:val="00CF6008"/>
    <w:rsid w:val="00D053AE"/>
    <w:rsid w:val="00D26C38"/>
    <w:rsid w:val="00D37032"/>
    <w:rsid w:val="00D62AF5"/>
    <w:rsid w:val="00D6534F"/>
    <w:rsid w:val="00D715AF"/>
    <w:rsid w:val="00D87027"/>
    <w:rsid w:val="00D97FE8"/>
    <w:rsid w:val="00DA4A50"/>
    <w:rsid w:val="00DC5FDA"/>
    <w:rsid w:val="00DD0360"/>
    <w:rsid w:val="00DE7B8B"/>
    <w:rsid w:val="00E055D1"/>
    <w:rsid w:val="00E21FA8"/>
    <w:rsid w:val="00E366B2"/>
    <w:rsid w:val="00E37E36"/>
    <w:rsid w:val="00EA6957"/>
    <w:rsid w:val="00EB4D5A"/>
    <w:rsid w:val="00EC7C2D"/>
    <w:rsid w:val="00ED7044"/>
    <w:rsid w:val="00EE316A"/>
    <w:rsid w:val="00F01976"/>
    <w:rsid w:val="00F23EA1"/>
    <w:rsid w:val="00F40D08"/>
    <w:rsid w:val="00F568EA"/>
    <w:rsid w:val="00F56D7C"/>
    <w:rsid w:val="00F67FBB"/>
    <w:rsid w:val="00FC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37AAF"/>
  <w15:docId w15:val="{538B4002-3FD4-438F-8FA1-9C8B0B03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00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F6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A6957"/>
    <w:pPr>
      <w:ind w:left="720"/>
      <w:contextualSpacing/>
    </w:pPr>
  </w:style>
  <w:style w:type="paragraph" w:styleId="a6">
    <w:name w:val="Plain Text"/>
    <w:basedOn w:val="a"/>
    <w:link w:val="a7"/>
    <w:uiPriority w:val="99"/>
    <w:semiHidden/>
    <w:unhideWhenUsed/>
    <w:rsid w:val="0025532C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25532C"/>
    <w:rPr>
      <w:rFonts w:ascii="Calibri" w:hAnsi="Calibri"/>
      <w:szCs w:val="21"/>
    </w:rPr>
  </w:style>
  <w:style w:type="paragraph" w:customStyle="1" w:styleId="Default">
    <w:name w:val="Default"/>
    <w:rsid w:val="003837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01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1F65"/>
  </w:style>
  <w:style w:type="paragraph" w:styleId="aa">
    <w:name w:val="footer"/>
    <w:basedOn w:val="a"/>
    <w:link w:val="ab"/>
    <w:uiPriority w:val="99"/>
    <w:unhideWhenUsed/>
    <w:rsid w:val="00301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1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arbitrationreview.com/third-party-funding/rosneft-subsidiary-spared-enforcement-in-texa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ralchem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atacenterknowledge.com/archives/2014/05/12/confirmed-peak-10-acquired-gi-partner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irklan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a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EPAM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S. Popova</dc:creator>
  <cp:lastModifiedBy>Попова Светлана Станиславовна (Popova Svetlana)</cp:lastModifiedBy>
  <cp:revision>3</cp:revision>
  <dcterms:created xsi:type="dcterms:W3CDTF">2021-06-23T16:21:00Z</dcterms:created>
  <dcterms:modified xsi:type="dcterms:W3CDTF">2021-06-23T16:50:00Z</dcterms:modified>
</cp:coreProperties>
</file>